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39985668"/>
        <w:docPartObj>
          <w:docPartGallery w:val="Cover Pages"/>
          <w:docPartUnique/>
        </w:docPartObj>
      </w:sdtPr>
      <w:sdtEndPr>
        <w:rPr>
          <w:sz w:val="24"/>
          <w:szCs w:val="24"/>
        </w:rPr>
      </w:sdtEndPr>
      <w:sdtContent>
        <w:p w:rsidR="007060DB" w:rsidRDefault="007060DB">
          <w:r>
            <w:rPr>
              <w:noProof/>
            </w:rPr>
            <mc:AlternateContent>
              <mc:Choice Requires="wps">
                <w:drawing>
                  <wp:anchor distT="0" distB="0" distL="114300" distR="114300" simplePos="0" relativeHeight="251659264" behindDoc="0" locked="0" layoutInCell="1" allowOverlap="1" wp14:anchorId="2363E2FB" wp14:editId="4A076EA1">
                    <wp:simplePos x="0" y="0"/>
                    <wp:positionH relativeFrom="page">
                      <wp:posOffset>222885</wp:posOffset>
                    </wp:positionH>
                    <wp:positionV relativeFrom="page">
                      <wp:posOffset>898350</wp:posOffset>
                    </wp:positionV>
                    <wp:extent cx="7315200" cy="363855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60DB" w:rsidRDefault="0063459E">
                                <w:pPr>
                                  <w:jc w:val="right"/>
                                  <w:rPr>
                                    <w:color w:val="5B9BD5" w:themeColor="accent1"/>
                                    <w:sz w:val="64"/>
                                    <w:szCs w:val="64"/>
                                  </w:rPr>
                                </w:pPr>
                                <w:sdt>
                                  <w:sdtPr>
                                    <w:rPr>
                                      <w:caps/>
                                      <w:color w:val="5B9BD5" w:themeColor="accent1"/>
                                      <w:sz w:val="64"/>
                                      <w:szCs w:val="64"/>
                                    </w:rPr>
                                    <w:alias w:val="Title"/>
                                    <w:tag w:val=""/>
                                    <w:id w:val="72749447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F6438">
                                      <w:rPr>
                                        <w:caps/>
                                        <w:color w:val="5B9BD5" w:themeColor="accent1"/>
                                        <w:sz w:val="64"/>
                                        <w:szCs w:val="64"/>
                                      </w:rPr>
                                      <w:t>Indigenuos Australians:</w:t>
                                    </w:r>
                                    <w:r w:rsidR="007060DB">
                                      <w:rPr>
                                        <w:caps/>
                                        <w:color w:val="5B9BD5" w:themeColor="accent1"/>
                                        <w:sz w:val="64"/>
                                        <w:szCs w:val="64"/>
                                      </w:rPr>
                                      <w:t xml:space="preserve"> </w:t>
                                    </w:r>
                                    <w:r w:rsidR="001F6438">
                                      <w:rPr>
                                        <w:caps/>
                                        <w:color w:val="5B9BD5" w:themeColor="accent1"/>
                                        <w:sz w:val="64"/>
                                        <w:szCs w:val="64"/>
                                      </w:rPr>
                                      <w:t xml:space="preserve">Histories, contemporary </w:t>
                                    </w:r>
                                    <w:r w:rsidR="007060DB">
                                      <w:rPr>
                                        <w:caps/>
                                        <w:color w:val="5B9BD5" w:themeColor="accent1"/>
                                        <w:sz w:val="64"/>
                                        <w:szCs w:val="64"/>
                                      </w:rPr>
                                      <w:t>realities and rights</w:t>
                                    </w:r>
                                  </w:sdtContent>
                                </w:sdt>
                              </w:p>
                              <w:p w:rsidR="007060DB" w:rsidRDefault="0063459E">
                                <w:pPr>
                                  <w:jc w:val="right"/>
                                  <w:rPr>
                                    <w:smallCaps/>
                                    <w:color w:val="404040" w:themeColor="text1" w:themeTint="BF"/>
                                    <w:sz w:val="36"/>
                                    <w:szCs w:val="36"/>
                                  </w:rPr>
                                </w:pPr>
                                <w:sdt>
                                  <w:sdtPr>
                                    <w:rPr>
                                      <w:color w:val="404040" w:themeColor="text1" w:themeTint="BF"/>
                                      <w:sz w:val="36"/>
                                      <w:szCs w:val="36"/>
                                    </w:rPr>
                                    <w:alias w:val="Subtitle"/>
                                    <w:tag w:val=""/>
                                    <w:id w:val="1944656761"/>
                                    <w:dataBinding w:prefixMappings="xmlns:ns0='http://purl.org/dc/elements/1.1/' xmlns:ns1='http://schemas.openxmlformats.org/package/2006/metadata/core-properties' " w:xpath="/ns1:coreProperties[1]/ns0:subject[1]" w:storeItemID="{6C3C8BC8-F283-45AE-878A-BAB7291924A1}"/>
                                    <w:text/>
                                  </w:sdtPr>
                                  <w:sdtEndPr/>
                                  <w:sdtContent>
                                    <w:r w:rsidR="007060DB">
                                      <w:rPr>
                                        <w:color w:val="404040" w:themeColor="text1" w:themeTint="BF"/>
                                        <w:sz w:val="36"/>
                                        <w:szCs w:val="36"/>
                                      </w:rPr>
                                      <w:t>IKC101</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2363E2FB" id="_x0000_t202" coordsize="21600,21600" o:spt="202" path="m,l,21600r21600,l21600,xe">
                    <v:stroke joinstyle="miter"/>
                    <v:path gradientshapeok="t" o:connecttype="rect"/>
                  </v:shapetype>
                  <v:shape id="Text Box 3" o:spid="_x0000_s1026" type="#_x0000_t202" style="position:absolute;margin-left:17.55pt;margin-top:70.7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" filled="f" stroked="f" strokeweight=".5pt">
                    <v:textbox inset="126pt,0,54pt,0">
                      <w:txbxContent>
                        <w:p w:rsidR="007060DB" w:rsidRDefault="0063459E">
                          <w:pPr>
                            <w:jc w:val="right"/>
                            <w:rPr>
                              <w:color w:val="5B9BD5" w:themeColor="accent1"/>
                              <w:sz w:val="64"/>
                              <w:szCs w:val="64"/>
                            </w:rPr>
                          </w:pPr>
                          <w:sdt>
                            <w:sdtPr>
                              <w:rPr>
                                <w:caps/>
                                <w:color w:val="5B9BD5" w:themeColor="accent1"/>
                                <w:sz w:val="64"/>
                                <w:szCs w:val="64"/>
                              </w:rPr>
                              <w:alias w:val="Title"/>
                              <w:tag w:val=""/>
                              <w:id w:val="72749447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F6438">
                                <w:rPr>
                                  <w:caps/>
                                  <w:color w:val="5B9BD5" w:themeColor="accent1"/>
                                  <w:sz w:val="64"/>
                                  <w:szCs w:val="64"/>
                                </w:rPr>
                                <w:t>Indigenuos Australians:</w:t>
                              </w:r>
                              <w:r w:rsidR="007060DB">
                                <w:rPr>
                                  <w:caps/>
                                  <w:color w:val="5B9BD5" w:themeColor="accent1"/>
                                  <w:sz w:val="64"/>
                                  <w:szCs w:val="64"/>
                                </w:rPr>
                                <w:t xml:space="preserve"> </w:t>
                              </w:r>
                              <w:r w:rsidR="001F6438">
                                <w:rPr>
                                  <w:caps/>
                                  <w:color w:val="5B9BD5" w:themeColor="accent1"/>
                                  <w:sz w:val="64"/>
                                  <w:szCs w:val="64"/>
                                </w:rPr>
                                <w:t xml:space="preserve">Histories, contemporary </w:t>
                              </w:r>
                              <w:r w:rsidR="007060DB">
                                <w:rPr>
                                  <w:caps/>
                                  <w:color w:val="5B9BD5" w:themeColor="accent1"/>
                                  <w:sz w:val="64"/>
                                  <w:szCs w:val="64"/>
                                </w:rPr>
                                <w:t>realities and rights</w:t>
                              </w:r>
                            </w:sdtContent>
                          </w:sdt>
                        </w:p>
                        <w:p w:rsidR="007060DB" w:rsidRDefault="0063459E">
                          <w:pPr>
                            <w:jc w:val="right"/>
                            <w:rPr>
                              <w:smallCaps/>
                              <w:color w:val="404040" w:themeColor="text1" w:themeTint="BF"/>
                              <w:sz w:val="36"/>
                              <w:szCs w:val="36"/>
                            </w:rPr>
                          </w:pPr>
                          <w:sdt>
                            <w:sdtPr>
                              <w:rPr>
                                <w:color w:val="404040" w:themeColor="text1" w:themeTint="BF"/>
                                <w:sz w:val="36"/>
                                <w:szCs w:val="36"/>
                              </w:rPr>
                              <w:alias w:val="Subtitle"/>
                              <w:tag w:val=""/>
                              <w:id w:val="1944656761"/>
                              <w:dataBinding w:prefixMappings="xmlns:ns0='http://purl.org/dc/elements/1.1/' xmlns:ns1='http://schemas.openxmlformats.org/package/2006/metadata/core-properties' " w:xpath="/ns1:coreProperties[1]/ns0:subject[1]" w:storeItemID="{6C3C8BC8-F283-45AE-878A-BAB7291924A1}"/>
                              <w:text/>
                            </w:sdtPr>
                            <w:sdtEndPr/>
                            <w:sdtContent>
                              <w:r w:rsidR="007060DB">
                                <w:rPr>
                                  <w:color w:val="404040" w:themeColor="text1" w:themeTint="BF"/>
                                  <w:sz w:val="36"/>
                                  <w:szCs w:val="36"/>
                                </w:rPr>
                                <w:t>IKC101</w:t>
                              </w:r>
                            </w:sdtContent>
                          </w:sdt>
                        </w:p>
                      </w:txbxContent>
                    </v:textbox>
                    <w10:wrap type="square" anchorx="page" anchory="page"/>
                  </v:shape>
                </w:pict>
              </mc:Fallback>
            </mc:AlternateContent>
          </w:r>
          <w:r>
            <w:rPr>
              <w:noProof/>
            </w:rPr>
            <mc:AlternateContent>
              <mc:Choice Requires="wpg">
                <w:drawing>
                  <wp:anchor distT="0" distB="0" distL="114300" distR="114300" simplePos="0" relativeHeight="251662336" behindDoc="0" locked="0" layoutInCell="1" allowOverlap="1" wp14:anchorId="1A2C0037" wp14:editId="2510FCC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4" name="Group 4"/>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38B6528" id="Group 4"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SScQA&#10;AADaAAAADwAAAGRycy9kb3ducmV2LnhtbESPQUsDMRSE74L/ITzBm81aqJRt01IKpYsHpdWD3h6b&#10;183q5mVJntvtvzcFweMwM98wy/XoOzVQTG1gA4+TAhRxHWzLjYH3t93DHFQSZItdYDJwoQTr1e3N&#10;Eksbznyg4SiNyhBOJRpwIn2pdaodeUyT0BNn7xSiR8kyNtpGPGe47/S0KJ60x5bzgsOeto7q7+OP&#10;N/D6PMwruUwpvriP/S5Wsy/ZfxpzfzduFqCERvkP/7Ura2AG1yv5Bu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pUkn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HW8QA&#10;AADaAAAADwAAAGRycy9kb3ducmV2LnhtbESPT2vCQBTE74LfYXmCN92oECTNKlUUempaK0hvj+zL&#10;H5p9G7PbmHz7bqHQ4zAzv2HS/WAa0VPnassKVssIBHFudc2lguvHebEF4TyyxsYyKRjJwX43naSY&#10;aPvgd+ovvhQBwi5BBZX3bSKlyysy6Ja2JQ5eYTuDPsiulLrDR4CbRq6jKJYGaw4LFbZ0rCj/unwb&#10;Ba+noyzi8Wzum+1ndjg1/e3NZErNZ8PzEwhPg/8P/7VftIIYfq+EG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uR1vEAAAA2gAAAA8AAAAAAAAAAAAAAAAAmAIAAGRycy9k&#10;b3ducmV2LnhtbFBLBQYAAAAABAAEAPUAAACJAwAAAAA=&#10;" stroked="f" strokeweight="1pt">
                      <v:fill r:id="rId6" o:title="" recolor="t" rotate="t" type="frame"/>
                    </v:rect>
                    <w10:wrap anchorx="page" anchory="page"/>
                  </v:group>
                </w:pict>
              </mc:Fallback>
            </mc:AlternateContent>
          </w:r>
        </w:p>
        <w:p w:rsidR="007060DB" w:rsidRDefault="007060DB">
          <w:r>
            <w:rPr>
              <w:noProof/>
            </w:rPr>
            <mc:AlternateContent>
              <mc:Choice Requires="wps">
                <w:drawing>
                  <wp:anchor distT="45720" distB="45720" distL="114300" distR="114300" simplePos="0" relativeHeight="251663360" behindDoc="0" locked="0" layoutInCell="1" allowOverlap="1" wp14:anchorId="3FB94786" wp14:editId="41F9AE34">
                    <wp:simplePos x="0" y="0"/>
                    <wp:positionH relativeFrom="column">
                      <wp:posOffset>3515360</wp:posOffset>
                    </wp:positionH>
                    <wp:positionV relativeFrom="paragraph">
                      <wp:posOffset>1439019</wp:posOffset>
                    </wp:positionV>
                    <wp:extent cx="2270125"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1404620"/>
                            </a:xfrm>
                            <a:prstGeom prst="rect">
                              <a:avLst/>
                            </a:prstGeom>
                            <a:noFill/>
                            <a:ln w="9525">
                              <a:noFill/>
                              <a:miter lim="800000"/>
                              <a:headEnd/>
                              <a:tailEnd/>
                            </a:ln>
                          </wps:spPr>
                          <wps:txbx>
                            <w:txbxContent>
                              <w:p w:rsidR="007060DB" w:rsidRDefault="0063459E" w:rsidP="002640C3">
                                <w:pPr>
                                  <w:jc w:val="right"/>
                                </w:pPr>
                                <w:sdt>
                                  <w:sdtPr>
                                    <w:alias w:val="Publish Date"/>
                                    <w:tag w:val=""/>
                                    <w:id w:val="772364741"/>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sidR="007060DB">
                                      <w:t xml:space="preserve">Word Count: </w:t>
                                    </w:r>
                                  </w:sdtContent>
                                </w:sdt>
                                <w:r w:rsidR="001F6438">
                                  <w:t>2496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B94786" id="Text Box 2" o:spid="_x0000_s1027" type="#_x0000_t202" style="position:absolute;margin-left:276.8pt;margin-top:113.3pt;width:178.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" filled="f" stroked="f">
                    <v:textbox style="mso-fit-shape-to-text:t">
                      <w:txbxContent>
                        <w:p w:rsidR="007060DB" w:rsidRDefault="0063459E" w:rsidP="002640C3">
                          <w:pPr>
                            <w:jc w:val="right"/>
                          </w:pPr>
                          <w:sdt>
                            <w:sdtPr>
                              <w:alias w:val="Publish Date"/>
                              <w:tag w:val=""/>
                              <w:id w:val="772364741"/>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sidR="007060DB">
                                <w:t xml:space="preserve">Word Count: </w:t>
                              </w:r>
                            </w:sdtContent>
                          </w:sdt>
                          <w:r w:rsidR="001F6438">
                            <w:t>2496</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62434E16" wp14:editId="4B178D71">
                    <wp:simplePos x="0" y="0"/>
                    <wp:positionH relativeFrom="column">
                      <wp:posOffset>2931795</wp:posOffset>
                    </wp:positionH>
                    <wp:positionV relativeFrom="paragraph">
                      <wp:posOffset>1031875</wp:posOffset>
                    </wp:positionV>
                    <wp:extent cx="2859405" cy="548005"/>
                    <wp:effectExtent l="0" t="0" r="0" b="44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548005"/>
                            </a:xfrm>
                            <a:prstGeom prst="rect">
                              <a:avLst/>
                            </a:prstGeom>
                            <a:noFill/>
                            <a:ln w="9525">
                              <a:noFill/>
                              <a:miter lim="800000"/>
                              <a:headEnd/>
                              <a:tailEnd/>
                            </a:ln>
                          </wps:spPr>
                          <wps:txbx>
                            <w:txbxContent>
                              <w:sdt>
                                <w:sdtPr>
                                  <w:rPr>
                                    <w:color w:val="595959" w:themeColor="text1" w:themeTint="A6"/>
                                    <w:sz w:val="28"/>
                                  </w:rPr>
                                  <w:alias w:val="Company"/>
                                  <w:tag w:val=""/>
                                  <w:id w:val="1039244032"/>
                                  <w:dataBinding w:prefixMappings="xmlns:ns0='http://schemas.openxmlformats.org/officeDocument/2006/extended-properties' " w:xpath="/ns0:Properties[1]/ns0:Company[1]" w:storeItemID="{6668398D-A668-4E3E-A5EB-62B293D839F1}"/>
                                  <w:text/>
                                </w:sdtPr>
                                <w:sdtEndPr/>
                                <w:sdtContent>
                                  <w:p w:rsidR="007060DB" w:rsidRPr="002640C3" w:rsidRDefault="007060DB" w:rsidP="002640C3">
                                    <w:pPr>
                                      <w:pStyle w:val="NoSpacing"/>
                                      <w:jc w:val="right"/>
                                      <w:rPr>
                                        <w:color w:val="595959" w:themeColor="text1" w:themeTint="A6"/>
                                        <w:sz w:val="28"/>
                                      </w:rPr>
                                    </w:pPr>
                                    <w:r>
                                      <w:rPr>
                                        <w:color w:val="595959" w:themeColor="text1" w:themeTint="A6"/>
                                        <w:sz w:val="28"/>
                                      </w:rPr>
                                      <w:t>Due: 7/6/2016</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34E16" id="Text Box 8" o:spid="_x0000_s1028" type="#_x0000_t202" style="position:absolute;margin-left:230.85pt;margin-top:81.25pt;width:225.15pt;height:4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" filled="f" stroked="f">
                    <v:textbox>
                      <w:txbxContent>
                        <w:sdt>
                          <w:sdtPr>
                            <w:rPr>
                              <w:color w:val="595959" w:themeColor="text1" w:themeTint="A6"/>
                              <w:sz w:val="28"/>
                            </w:rPr>
                            <w:alias w:val="Company"/>
                            <w:tag w:val=""/>
                            <w:id w:val="1039244032"/>
                            <w:dataBinding w:prefixMappings="xmlns:ns0='http://schemas.openxmlformats.org/officeDocument/2006/extended-properties' " w:xpath="/ns0:Properties[1]/ns0:Company[1]" w:storeItemID="{6668398D-A668-4E3E-A5EB-62B293D839F1}"/>
                            <w:text/>
                          </w:sdtPr>
                          <w:sdtEndPr/>
                          <w:sdtContent>
                            <w:p w:rsidR="007060DB" w:rsidRPr="002640C3" w:rsidRDefault="007060DB" w:rsidP="002640C3">
                              <w:pPr>
                                <w:pStyle w:val="NoSpacing"/>
                                <w:jc w:val="right"/>
                                <w:rPr>
                                  <w:color w:val="595959" w:themeColor="text1" w:themeTint="A6"/>
                                  <w:sz w:val="28"/>
                                </w:rPr>
                              </w:pPr>
                              <w:r>
                                <w:rPr>
                                  <w:color w:val="595959" w:themeColor="text1" w:themeTint="A6"/>
                                  <w:sz w:val="28"/>
                                </w:rPr>
                                <w:t>Due: 7/6/2016</w:t>
                              </w:r>
                            </w:p>
                          </w:sdtContent>
                        </w:sdt>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76A8973" wp14:editId="3D27C809">
                    <wp:simplePos x="0" y="0"/>
                    <wp:positionH relativeFrom="page">
                      <wp:posOffset>221615</wp:posOffset>
                    </wp:positionH>
                    <wp:positionV relativeFrom="page">
                      <wp:posOffset>7048916</wp:posOffset>
                    </wp:positionV>
                    <wp:extent cx="7315200" cy="914400"/>
                    <wp:effectExtent l="0" t="0" r="0" b="6985"/>
                    <wp:wrapSquare wrapText="bothSides"/>
                    <wp:docPr id="9" name="Text Box 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1048603442"/>
                                  <w:dataBinding w:prefixMappings="xmlns:ns0='http://purl.org/dc/elements/1.1/' xmlns:ns1='http://schemas.openxmlformats.org/package/2006/metadata/core-properties' " w:xpath="/ns1:coreProperties[1]/ns0:creator[1]" w:storeItemID="{6C3C8BC8-F283-45AE-878A-BAB7291924A1}"/>
                                  <w:text/>
                                </w:sdtPr>
                                <w:sdtEndPr/>
                                <w:sdtContent>
                                  <w:p w:rsidR="007060DB" w:rsidRDefault="007060DB">
                                    <w:pPr>
                                      <w:pStyle w:val="NoSpacing"/>
                                      <w:jc w:val="right"/>
                                      <w:rPr>
                                        <w:color w:val="595959" w:themeColor="text1" w:themeTint="A6"/>
                                        <w:sz w:val="28"/>
                                        <w:szCs w:val="28"/>
                                      </w:rPr>
                                    </w:pPr>
                                    <w:r>
                                      <w:rPr>
                                        <w:color w:val="595959" w:themeColor="text1" w:themeTint="A6"/>
                                        <w:sz w:val="28"/>
                                        <w:szCs w:val="28"/>
                                      </w:rPr>
                                      <w:t>Alannah McLatchey</w:t>
                                    </w:r>
                                  </w:p>
                                </w:sdtContent>
                              </w:sdt>
                              <w:p w:rsidR="007060DB" w:rsidRDefault="0063459E">
                                <w:pPr>
                                  <w:pStyle w:val="NoSpacing"/>
                                  <w:jc w:val="right"/>
                                  <w:rPr>
                                    <w:color w:val="595959" w:themeColor="text1" w:themeTint="A6"/>
                                    <w:sz w:val="18"/>
                                    <w:szCs w:val="18"/>
                                  </w:rPr>
                                </w:pPr>
                                <w:sdt>
                                  <w:sdtPr>
                                    <w:rPr>
                                      <w:color w:val="595959" w:themeColor="text1" w:themeTint="A6"/>
                                      <w:sz w:val="18"/>
                                      <w:szCs w:val="18"/>
                                    </w:rPr>
                                    <w:alias w:val="Email"/>
                                    <w:tag w:val="Email"/>
                                    <w:id w:val="324246247"/>
                                    <w:dataBinding w:prefixMappings="xmlns:ns0='http://schemas.microsoft.com/office/2006/coverPageProps' " w:xpath="/ns0:CoverPageProperties[1]/ns0:CompanyEmail[1]" w:storeItemID="{55AF091B-3C7A-41E3-B477-F2FDAA23CFDA}"/>
                                    <w:text/>
                                  </w:sdtPr>
                                  <w:sdtEndPr/>
                                  <w:sdtContent>
                                    <w:r w:rsidR="007060DB">
                                      <w:rPr>
                                        <w:color w:val="595959" w:themeColor="text1" w:themeTint="A6"/>
                                        <w:sz w:val="18"/>
                                        <w:szCs w:val="18"/>
                                      </w:rPr>
                                      <w:t>11572622</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276A8973" id="Text Box 9" o:spid="_x0000_s1029" type="#_x0000_t202" style="position:absolute;margin-left:17.45pt;margin-top:555.05pt;width:8in;height:1in;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" filled="f" stroked="f" strokeweight=".5pt">
                    <v:textbox inset="126pt,0,54pt,0">
                      <w:txbxContent>
                        <w:sdt>
                          <w:sdtPr>
                            <w:rPr>
                              <w:color w:val="595959" w:themeColor="text1" w:themeTint="A6"/>
                              <w:sz w:val="28"/>
                              <w:szCs w:val="28"/>
                            </w:rPr>
                            <w:alias w:val="Author"/>
                            <w:tag w:val=""/>
                            <w:id w:val="-1048603442"/>
                            <w:dataBinding w:prefixMappings="xmlns:ns0='http://purl.org/dc/elements/1.1/' xmlns:ns1='http://schemas.openxmlformats.org/package/2006/metadata/core-properties' " w:xpath="/ns1:coreProperties[1]/ns0:creator[1]" w:storeItemID="{6C3C8BC8-F283-45AE-878A-BAB7291924A1}"/>
                            <w:text/>
                          </w:sdtPr>
                          <w:sdtEndPr/>
                          <w:sdtContent>
                            <w:p w:rsidR="007060DB" w:rsidRDefault="007060DB">
                              <w:pPr>
                                <w:pStyle w:val="NoSpacing"/>
                                <w:jc w:val="right"/>
                                <w:rPr>
                                  <w:color w:val="595959" w:themeColor="text1" w:themeTint="A6"/>
                                  <w:sz w:val="28"/>
                                  <w:szCs w:val="28"/>
                                </w:rPr>
                              </w:pPr>
                              <w:r>
                                <w:rPr>
                                  <w:color w:val="595959" w:themeColor="text1" w:themeTint="A6"/>
                                  <w:sz w:val="28"/>
                                  <w:szCs w:val="28"/>
                                </w:rPr>
                                <w:t>Alannah McLatchey</w:t>
                              </w:r>
                            </w:p>
                          </w:sdtContent>
                        </w:sdt>
                        <w:p w:rsidR="007060DB" w:rsidRDefault="0063459E">
                          <w:pPr>
                            <w:pStyle w:val="NoSpacing"/>
                            <w:jc w:val="right"/>
                            <w:rPr>
                              <w:color w:val="595959" w:themeColor="text1" w:themeTint="A6"/>
                              <w:sz w:val="18"/>
                              <w:szCs w:val="18"/>
                            </w:rPr>
                          </w:pPr>
                          <w:sdt>
                            <w:sdtPr>
                              <w:rPr>
                                <w:color w:val="595959" w:themeColor="text1" w:themeTint="A6"/>
                                <w:sz w:val="18"/>
                                <w:szCs w:val="18"/>
                              </w:rPr>
                              <w:alias w:val="Email"/>
                              <w:tag w:val="Email"/>
                              <w:id w:val="324246247"/>
                              <w:dataBinding w:prefixMappings="xmlns:ns0='http://schemas.microsoft.com/office/2006/coverPageProps' " w:xpath="/ns0:CoverPageProperties[1]/ns0:CompanyEmail[1]" w:storeItemID="{55AF091B-3C7A-41E3-B477-F2FDAA23CFDA}"/>
                              <w:text/>
                            </w:sdtPr>
                            <w:sdtEndPr/>
                            <w:sdtContent>
                              <w:r w:rsidR="007060DB">
                                <w:rPr>
                                  <w:color w:val="595959" w:themeColor="text1" w:themeTint="A6"/>
                                  <w:sz w:val="18"/>
                                  <w:szCs w:val="18"/>
                                </w:rPr>
                                <w:t>11572622</w:t>
                              </w:r>
                            </w:sdtContent>
                          </w:sdt>
                        </w:p>
                      </w:txbxContent>
                    </v:textbox>
                    <w10:wrap type="square" anchorx="page" anchory="page"/>
                  </v:shape>
                </w:pict>
              </mc:Fallback>
            </mc:AlternateContent>
          </w:r>
        </w:p>
        <w:p w:rsidR="007060DB" w:rsidRDefault="007060DB"/>
        <w:p w:rsidR="007060DB" w:rsidRDefault="007060DB">
          <w:pPr>
            <w:rPr>
              <w:sz w:val="24"/>
              <w:szCs w:val="24"/>
            </w:rPr>
          </w:pPr>
          <w:r>
            <w:rPr>
              <w:sz w:val="24"/>
              <w:szCs w:val="24"/>
            </w:rPr>
            <w:br w:type="page"/>
          </w:r>
        </w:p>
        <w:bookmarkStart w:id="0" w:name="_GoBack" w:displacedByCustomXml="next"/>
        <w:bookmarkEnd w:id="0" w:displacedByCustomXml="next"/>
      </w:sdtContent>
    </w:sdt>
    <w:p w:rsidR="001F6438" w:rsidRDefault="001F6438" w:rsidP="001F6438">
      <w:pPr>
        <w:spacing w:line="480" w:lineRule="auto"/>
        <w:rPr>
          <w:sz w:val="24"/>
        </w:rPr>
      </w:pPr>
      <w:r>
        <w:rPr>
          <w:sz w:val="24"/>
        </w:rPr>
        <w:lastRenderedPageBreak/>
        <w:t xml:space="preserve">From the period of European settlement in 1770 to 1970, Indigenous Australian people have resisted the non-Indigenous occupation of Australia. The harsh, often violent European policies imposed on Indigenous Australians during this time created four distinct eras directed at dispersing and dispossessing the Indigenous community. </w:t>
      </w:r>
      <w:proofErr w:type="gramStart"/>
      <w:r>
        <w:rPr>
          <w:sz w:val="24"/>
        </w:rPr>
        <w:t>As a result of</w:t>
      </w:r>
      <w:proofErr w:type="gramEnd"/>
      <w:r>
        <w:rPr>
          <w:sz w:val="24"/>
        </w:rPr>
        <w:t xml:space="preserve"> this open discrimination, Indigenous Australians actively opposed and resisted the non-Indigenous interventions. This opposition came in both peaceful and violent forms, and were direct results of lack of acknowledgement by Europeans towards the Indigenous community through policies they implemented. The four distinct eras that were shaped by European policies are the colonial Frontier, policies of protection, segregation, and the Stolen Generations. </w:t>
      </w:r>
    </w:p>
    <w:p w:rsidR="001F6438" w:rsidRDefault="001F6438" w:rsidP="001F6438">
      <w:pPr>
        <w:spacing w:line="480" w:lineRule="auto"/>
        <w:rPr>
          <w:sz w:val="24"/>
        </w:rPr>
      </w:pPr>
      <w:r>
        <w:rPr>
          <w:sz w:val="24"/>
        </w:rPr>
        <w:t xml:space="preserve">Indigenous resistance and non-Indigenous policies within the colonial Frontier began in 1788 with the first settlement. Despite Governor Phillip’s instructions to maintain peaceful relations with the Indigenous people, misunderstandings between the two cultures led to severe and violent actions. (Read, 1998, p.5). This can be seen through the massacre of the Wiradjuri people, which Read notes that, “The Declaration of Martial Law against the Wiradjuri in 1823 established the largest official military force to ever set out against [the Indigenous] and placate the settlers.” (Read, 1998, p.5). As the policies became increasingly more violent towards the Indigenous, as seen through the 1823 Martial Law and the 1796 public order by Governor Grose directing and encouraging retaliation against the Indigenous, it can be seen that the colonial Frontier was implemented to both displace the Indigenous and dispossess them of </w:t>
      </w:r>
      <w:proofErr w:type="gramStart"/>
      <w:r>
        <w:rPr>
          <w:sz w:val="24"/>
        </w:rPr>
        <w:t>the their</w:t>
      </w:r>
      <w:proofErr w:type="gramEnd"/>
      <w:r>
        <w:rPr>
          <w:sz w:val="24"/>
        </w:rPr>
        <w:t xml:space="preserve"> land. This displacement and its Indigenous retaliation can be seen through the </w:t>
      </w:r>
      <w:proofErr w:type="spellStart"/>
      <w:r>
        <w:rPr>
          <w:sz w:val="24"/>
        </w:rPr>
        <w:t>Pallittorre</w:t>
      </w:r>
      <w:proofErr w:type="spellEnd"/>
      <w:r>
        <w:rPr>
          <w:sz w:val="24"/>
        </w:rPr>
        <w:t xml:space="preserve"> people in Tasmania, who peacefully came to the stock-keeper at </w:t>
      </w:r>
      <w:proofErr w:type="spellStart"/>
      <w:r>
        <w:rPr>
          <w:sz w:val="24"/>
        </w:rPr>
        <w:t>Quamby</w:t>
      </w:r>
      <w:proofErr w:type="spellEnd"/>
      <w:r>
        <w:rPr>
          <w:sz w:val="24"/>
        </w:rPr>
        <w:t xml:space="preserve"> Brook to complain that their hunting territory was being taken over by sheep and cattle. The stock-keeper shot at the Indigenous and they retaliated a few </w:t>
      </w:r>
      <w:r>
        <w:rPr>
          <w:sz w:val="24"/>
        </w:rPr>
        <w:lastRenderedPageBreak/>
        <w:t>days later by surrounding his hut with 160 armed men (Ryan, 2008). The displacement of the Indigenous Australians from their land, and settler distribution on it, meant that they no longer had a reliable source of food, which led to starvation. As Christie illustrates, the Indigenous would labour for the Europeans and in exchange, they were “generally paid with clothing or food.” (Christie, 1979, p.146). Resistance campaigns in Victoria surrounding these stock farms included dispersing their sheep and cattle. (Christie, 1979, p.63). It can therefore be seen that the colonial Frontier was not only shaped by the policies of that era, but also, more significantly, by the resistance of the Australian Indigenous people.</w:t>
      </w:r>
    </w:p>
    <w:p w:rsidR="001F6438" w:rsidRDefault="001F6438" w:rsidP="001F6438">
      <w:pPr>
        <w:spacing w:line="480" w:lineRule="auto"/>
        <w:rPr>
          <w:sz w:val="24"/>
        </w:rPr>
      </w:pPr>
      <w:r>
        <w:rPr>
          <w:sz w:val="24"/>
        </w:rPr>
        <w:t xml:space="preserve">The second era of the European policy that furthered Indigenous resistance was with the creation and influence of the policies of protection on Indigenous living. The basis of the protection policies implemented in Australia were greatly influenced by the ideas of Social Darwinism and “aimed to disperse them” (McGrath, 1995, p.59). This rested on the belief that by dispersing the Indigenous, they would eventually become extinct. In 1860, the Board of Protection was established in Victoria and allowed the removal of Indigenous Australians onto reserves. Similarly, in 1881, a Protector of Aborigines was appointed in New South Wales. This led to the introduction of the ‘Protection’ policy in 1909 and saw even greater losses of land and land rights for the Indigenous people. McGrath states that the Indigenous contested this “by developing an organised political campaign” (1995, p.59). This can be evidenced through the Aborigines’ Progressive Association (APA) of west and north-western New South Wales, who demanded “an end to the Protection Board” (McGrath, 1995, p.87). In the 1950s, the post war ‘Welfare’ Administration shifted its approach to the Indigenous Australians, however, as McGrath states, “[It] retained many of the destructive ‘Protection’ legislative powers” (1995, p.60), and it wasn’t until 1969 that the </w:t>
      </w:r>
      <w:r>
        <w:rPr>
          <w:i/>
          <w:sz w:val="24"/>
        </w:rPr>
        <w:t xml:space="preserve">Aborigines Protection Act NSW (1909) </w:t>
      </w:r>
      <w:r>
        <w:rPr>
          <w:sz w:val="24"/>
        </w:rPr>
        <w:t xml:space="preserve">was abolished. In the 1960s, Indigenous voices in politics were strengthened. </w:t>
      </w:r>
      <w:r>
        <w:rPr>
          <w:sz w:val="24"/>
        </w:rPr>
        <w:lastRenderedPageBreak/>
        <w:t>This led to access to education for Indigenous people and a broadening of white support to the cause. It can therefore be seen that throughout the era of displacing and dispossessing the Indigenous community by protection policies, the continuous Indigenous resistance on a political level gained both Indigenous and non-Indigenous support and can be thus proved effective.</w:t>
      </w:r>
    </w:p>
    <w:p w:rsidR="001F6438" w:rsidRDefault="001F6438" w:rsidP="001F6438">
      <w:pPr>
        <w:spacing w:line="480" w:lineRule="auto"/>
        <w:rPr>
          <w:sz w:val="24"/>
        </w:rPr>
      </w:pPr>
      <w:r>
        <w:rPr>
          <w:sz w:val="24"/>
        </w:rPr>
        <w:t xml:space="preserve">Non-Indigenous policies about segregation led to strong Indigenous resistance </w:t>
      </w:r>
      <w:proofErr w:type="gramStart"/>
      <w:r>
        <w:rPr>
          <w:sz w:val="24"/>
        </w:rPr>
        <w:t>as a result of</w:t>
      </w:r>
      <w:proofErr w:type="gramEnd"/>
      <w:r>
        <w:rPr>
          <w:sz w:val="24"/>
        </w:rPr>
        <w:t xml:space="preserve"> its intrusive and controlling nature. By 1902, the Director of Public Instruction had passed a regulation allowing schools to be racially segregated on any complaint of a white parent. At the same time, the availability of schooling for Indigenous children was gradually removed, and the ‘Protection’ policies were in support of government reserves. The living conditions were poor, with harsh and sometimes abusive circumstances. This then became a demonstration of extreme bureaucratic control. By 1909, the ‘dispersal’ policy had gained a legislative base, which meant that the Board of Protection was able to move Indigenous people away from any town or reserve. “By 1935, over 30 per cent of the known [Indigenous] population was under direct and dictatorial control.” (McGrath, 1995, p.85). These actions led to Indigenous league formations in 1934. The </w:t>
      </w:r>
      <w:proofErr w:type="spellStart"/>
      <w:r>
        <w:rPr>
          <w:sz w:val="24"/>
        </w:rPr>
        <w:t>Cumerajunga</w:t>
      </w:r>
      <w:proofErr w:type="spellEnd"/>
      <w:r>
        <w:rPr>
          <w:sz w:val="24"/>
        </w:rPr>
        <w:t xml:space="preserve"> people along with other communities from south-western New South Wales and Victoria formed the Australian Aboriginal League (AAL). Led by William Cooper, the AAL protested economic discrimination, and more broadly, land discrimination. (McGrath, 1995, p.87) </w:t>
      </w:r>
      <w:proofErr w:type="gramStart"/>
      <w:r>
        <w:rPr>
          <w:sz w:val="24"/>
        </w:rPr>
        <w:t>Both of these</w:t>
      </w:r>
      <w:proofErr w:type="gramEnd"/>
      <w:r>
        <w:rPr>
          <w:sz w:val="24"/>
        </w:rPr>
        <w:t xml:space="preserve"> types of discrimination against the Indigenous came as a result of the ‘Protection’ policy and the ensuing segregation, as it ensured differences in wages, in land rights and possession of land. At the same time as the formation of the AAL, a policy of resocialisation was created to concentrate the Indigenous on newly expanded stations and ensure they were educated and trained to a ‘standard’ acceptable to the Europeans. In this way, the policies of </w:t>
      </w:r>
      <w:r>
        <w:rPr>
          <w:sz w:val="24"/>
        </w:rPr>
        <w:lastRenderedPageBreak/>
        <w:t xml:space="preserve">segregation </w:t>
      </w:r>
      <w:proofErr w:type="gramStart"/>
      <w:r>
        <w:rPr>
          <w:sz w:val="24"/>
        </w:rPr>
        <w:t>can be seen as</w:t>
      </w:r>
      <w:proofErr w:type="gramEnd"/>
      <w:r>
        <w:rPr>
          <w:sz w:val="24"/>
        </w:rPr>
        <w:t xml:space="preserve"> very physically demeaning, while the response of the Indigenous can be seen as largely political and mostly peaceful.</w:t>
      </w:r>
    </w:p>
    <w:p w:rsidR="001F6438" w:rsidRDefault="001F6438" w:rsidP="001F6438">
      <w:pPr>
        <w:spacing w:line="480" w:lineRule="auto"/>
        <w:rPr>
          <w:sz w:val="24"/>
        </w:rPr>
      </w:pPr>
      <w:r>
        <w:rPr>
          <w:sz w:val="24"/>
        </w:rPr>
        <w:t>Finally, the Stolen Generation became a stronghold for both non-Indigenous policy and Indigenous resistance. Children were forcibly removed from Indigenous communities since the first settlement came to Australia, and by the late 19</w:t>
      </w:r>
      <w:r>
        <w:rPr>
          <w:sz w:val="24"/>
          <w:vertAlign w:val="superscript"/>
        </w:rPr>
        <w:t>th</w:t>
      </w:r>
      <w:r>
        <w:rPr>
          <w:sz w:val="24"/>
        </w:rPr>
        <w:t xml:space="preserve"> century the influences of social Darwinism dominated European thinking. This meant that the non-Indigenous settlers believed they could “breed out the colour” (McGregor, 2002, p.1). The ‘Protection’ acts of the early 20</w:t>
      </w:r>
      <w:r>
        <w:rPr>
          <w:sz w:val="24"/>
          <w:vertAlign w:val="superscript"/>
        </w:rPr>
        <w:t>th</w:t>
      </w:r>
      <w:r>
        <w:rPr>
          <w:sz w:val="24"/>
        </w:rPr>
        <w:t xml:space="preserve"> century allowed the Protectors to remove children, and in particular, ‘half-castes’, from their Indigenous families and move them into reserves or missions. By the 1930s, the concept of absorption and eugenics became central to the actions of Protectors, but after World War Two, the concept of absorption was discredited. Despite this, the child removal continued </w:t>
      </w:r>
      <w:proofErr w:type="gramStart"/>
      <w:r>
        <w:rPr>
          <w:sz w:val="24"/>
        </w:rPr>
        <w:t>on the basis of</w:t>
      </w:r>
      <w:proofErr w:type="gramEnd"/>
      <w:r>
        <w:rPr>
          <w:sz w:val="24"/>
        </w:rPr>
        <w:t xml:space="preserve"> ‘welfare grounds’, leading to the increased number of children taken in the 1950s and 1960s. (McGrath, 1995, p.90). In the 1920s and 1930s, Indigenous resistance was formed at a political level, which can be seen through the formation of the Australian Aboriginal Progressive Association (AAPA) in 1925, in New South Wales. Resistance did occur in non-political formats, which can be seen through protests in reserves and stations. The Indigenous people living on these stations did not know how they could prevent the removal of their children and ‘half-caste’ children, so therefore staged protests by walking off stations with the children before they could be taken (Commonwealth of Australia, 1997). It can therefore be seen that Indigenous resistance to the European policies surrounding the Stolen Generation was both effective and ineffective, though certain levels of resistance were less informed.  </w:t>
      </w:r>
    </w:p>
    <w:p w:rsidR="001F6438" w:rsidRDefault="001F6438" w:rsidP="001F6438">
      <w:pPr>
        <w:spacing w:line="480" w:lineRule="auto"/>
        <w:rPr>
          <w:sz w:val="24"/>
        </w:rPr>
      </w:pPr>
      <w:r>
        <w:rPr>
          <w:sz w:val="24"/>
        </w:rPr>
        <w:lastRenderedPageBreak/>
        <w:t xml:space="preserve">In conclusion, the Indigenous Australian people have resisted the non-Indigenous occupation of Australia from the time of settlement in 1770. The European policies imposed on Indigenous Australians during this time created four distinct eras; the colonial Frontier, policies of protection, segregation, and the Stolen Generations. These distinct eras were directed at dispersing and dispossessing the Indigenous people, </w:t>
      </w:r>
      <w:proofErr w:type="gramStart"/>
      <w:r>
        <w:rPr>
          <w:sz w:val="24"/>
        </w:rPr>
        <w:t>in order to</w:t>
      </w:r>
      <w:proofErr w:type="gramEnd"/>
      <w:r>
        <w:rPr>
          <w:sz w:val="24"/>
        </w:rPr>
        <w:t xml:space="preserve"> make way for a ‘white’ Australia. </w:t>
      </w:r>
      <w:proofErr w:type="gramStart"/>
      <w:r>
        <w:rPr>
          <w:sz w:val="24"/>
        </w:rPr>
        <w:t>As a result of</w:t>
      </w:r>
      <w:proofErr w:type="gramEnd"/>
      <w:r>
        <w:rPr>
          <w:sz w:val="24"/>
        </w:rPr>
        <w:t xml:space="preserve"> this open discrimination, Indigenous Australians actively opposed and resisted the non-Indigenous interventions. This opposition came in more peaceful forms, such as political group formations, and walking off the stations, or more violent forms, such as dispersing cattle or surrounding non-Indigenous aggravators whilst armed. The forms of resistance displayed by the Indigenous were a direct result of non-Indigenous policy and European settlement.</w:t>
      </w:r>
    </w:p>
    <w:p w:rsidR="001F6438" w:rsidRDefault="001F6438" w:rsidP="001F6438">
      <w:pPr>
        <w:spacing w:line="480" w:lineRule="auto"/>
        <w:rPr>
          <w:sz w:val="24"/>
        </w:rPr>
      </w:pPr>
    </w:p>
    <w:p w:rsidR="001F6438" w:rsidRDefault="001F6438" w:rsidP="001F6438">
      <w:pPr>
        <w:spacing w:line="480" w:lineRule="auto"/>
        <w:ind w:left="567" w:hanging="567"/>
        <w:rPr>
          <w:sz w:val="24"/>
        </w:rPr>
      </w:pPr>
      <w:proofErr w:type="gramStart"/>
      <w:r>
        <w:rPr>
          <w:sz w:val="24"/>
        </w:rPr>
        <w:t xml:space="preserve">References </w:t>
      </w:r>
      <w:r>
        <w:rPr>
          <w:sz w:val="24"/>
        </w:rPr>
        <w:t xml:space="preserve"> Part</w:t>
      </w:r>
      <w:proofErr w:type="gramEnd"/>
      <w:r>
        <w:rPr>
          <w:sz w:val="24"/>
        </w:rPr>
        <w:t xml:space="preserve"> A:</w:t>
      </w:r>
    </w:p>
    <w:p w:rsidR="001F6438" w:rsidRDefault="001F6438" w:rsidP="001F6438">
      <w:pPr>
        <w:spacing w:line="480" w:lineRule="auto"/>
        <w:ind w:left="567" w:hanging="567"/>
        <w:rPr>
          <w:sz w:val="24"/>
        </w:rPr>
      </w:pPr>
      <w:r>
        <w:rPr>
          <w:sz w:val="24"/>
        </w:rPr>
        <w:t>Christie, M. F. (1979). Aborigines in colonial Victoria 1835-86. Sydney University Press.</w:t>
      </w:r>
    </w:p>
    <w:p w:rsidR="001F6438" w:rsidRDefault="001F6438" w:rsidP="001F6438">
      <w:pPr>
        <w:pStyle w:val="Default"/>
        <w:spacing w:after="144" w:line="480" w:lineRule="auto"/>
        <w:ind w:left="567" w:hanging="567"/>
        <w:rPr>
          <w:rFonts w:asciiTheme="minorHAnsi" w:hAnsiTheme="minorHAnsi"/>
          <w:szCs w:val="22"/>
        </w:rPr>
      </w:pPr>
      <w:r>
        <w:rPr>
          <w:rFonts w:asciiTheme="minorHAnsi" w:hAnsiTheme="minorHAnsi"/>
          <w:szCs w:val="22"/>
        </w:rPr>
        <w:t xml:space="preserve">Commonwealth of Australia. (1997). Bringing them Home: Report of the National Inquiry into the Separation of Aboriginal and Torres Strait Islander Children from their Families. Online. Available at http://www.humanrights.gov.au/publications/bringing-them-home-chapter-3 </w:t>
      </w:r>
    </w:p>
    <w:p w:rsidR="001F6438" w:rsidRDefault="001F6438" w:rsidP="001F6438">
      <w:pPr>
        <w:pStyle w:val="Default"/>
        <w:spacing w:after="144" w:line="480" w:lineRule="auto"/>
        <w:ind w:left="567" w:hanging="567"/>
        <w:rPr>
          <w:rFonts w:asciiTheme="minorHAnsi" w:hAnsiTheme="minorHAnsi"/>
          <w:szCs w:val="22"/>
        </w:rPr>
      </w:pPr>
      <w:r>
        <w:rPr>
          <w:rFonts w:asciiTheme="minorHAnsi" w:hAnsiTheme="minorHAnsi"/>
          <w:szCs w:val="22"/>
        </w:rPr>
        <w:t>Macintyre, S. (2013). A concise history of Australia: Third edition. Melbourne: Cambridge University Press.</w:t>
      </w:r>
    </w:p>
    <w:p w:rsidR="001F6438" w:rsidRDefault="001F6438" w:rsidP="001F6438">
      <w:pPr>
        <w:pStyle w:val="Default"/>
        <w:spacing w:after="144" w:line="480" w:lineRule="auto"/>
        <w:ind w:left="567" w:hanging="567"/>
        <w:rPr>
          <w:rFonts w:asciiTheme="minorHAnsi" w:hAnsiTheme="minorHAnsi"/>
          <w:szCs w:val="22"/>
        </w:rPr>
      </w:pPr>
      <w:r>
        <w:rPr>
          <w:rFonts w:asciiTheme="minorHAnsi" w:hAnsiTheme="minorHAnsi"/>
          <w:szCs w:val="22"/>
        </w:rPr>
        <w:t>McGrath, A. (1995). Contested Ground: Australian Aborigines under the British Crown. St Leonards: Allen and Unwin.</w:t>
      </w:r>
    </w:p>
    <w:p w:rsidR="001F6438" w:rsidRDefault="001F6438" w:rsidP="001F6438">
      <w:pPr>
        <w:pStyle w:val="Default"/>
        <w:spacing w:after="144" w:line="480" w:lineRule="auto"/>
        <w:ind w:left="567" w:hanging="567"/>
        <w:rPr>
          <w:rFonts w:asciiTheme="minorHAnsi" w:hAnsiTheme="minorHAnsi"/>
          <w:szCs w:val="22"/>
        </w:rPr>
      </w:pPr>
      <w:r>
        <w:rPr>
          <w:rFonts w:asciiTheme="minorHAnsi" w:hAnsiTheme="minorHAnsi"/>
          <w:szCs w:val="22"/>
        </w:rPr>
        <w:lastRenderedPageBreak/>
        <w:t>McGregor, R. (2002). “Breed Out the Colour” or the Importance of Being White. Australian Historical Studies, 33(120), 286-302</w:t>
      </w:r>
    </w:p>
    <w:p w:rsidR="001F6438" w:rsidRDefault="001F6438" w:rsidP="001F6438">
      <w:pPr>
        <w:pStyle w:val="Default"/>
        <w:spacing w:line="480" w:lineRule="auto"/>
        <w:ind w:left="567" w:hanging="567"/>
        <w:rPr>
          <w:rFonts w:asciiTheme="minorHAnsi" w:hAnsiTheme="minorHAnsi"/>
          <w:szCs w:val="22"/>
        </w:rPr>
      </w:pPr>
      <w:r>
        <w:rPr>
          <w:rFonts w:asciiTheme="minorHAnsi" w:hAnsiTheme="minorHAnsi"/>
          <w:szCs w:val="22"/>
        </w:rPr>
        <w:t xml:space="preserve">Read, P. (1988). A Hundred Years War: The Wiradjuri People and the State, (Chapter 1: The First Cycle: 1813-1850, pp. 1-28), Canberra: Australian National University Press. </w:t>
      </w:r>
    </w:p>
    <w:p w:rsidR="001F6438" w:rsidRDefault="001F6438" w:rsidP="001F6438">
      <w:pPr>
        <w:pStyle w:val="EndNoteBibliography"/>
        <w:spacing w:line="480" w:lineRule="auto"/>
        <w:ind w:left="567" w:hanging="567"/>
        <w:rPr>
          <w:rFonts w:asciiTheme="minorHAnsi" w:hAnsiTheme="minorHAnsi"/>
          <w:sz w:val="24"/>
        </w:rPr>
      </w:pPr>
      <w:r>
        <w:rPr>
          <w:rFonts w:asciiTheme="minorHAnsi" w:hAnsiTheme="minorHAnsi"/>
          <w:sz w:val="24"/>
        </w:rPr>
        <w:fldChar w:fldCharType="begin"/>
      </w:r>
      <w:r>
        <w:rPr>
          <w:rFonts w:asciiTheme="minorHAnsi" w:hAnsiTheme="minorHAnsi"/>
          <w:sz w:val="24"/>
        </w:rPr>
        <w:instrText xml:space="preserve"> ADDIN EN.REFLIST </w:instrText>
      </w:r>
      <w:r>
        <w:rPr>
          <w:rFonts w:asciiTheme="minorHAnsi" w:hAnsiTheme="minorHAnsi"/>
          <w:sz w:val="24"/>
        </w:rPr>
        <w:fldChar w:fldCharType="separate"/>
      </w:r>
      <w:r>
        <w:rPr>
          <w:rFonts w:asciiTheme="minorHAnsi" w:hAnsiTheme="minorHAnsi"/>
          <w:sz w:val="24"/>
        </w:rPr>
        <w:t xml:space="preserve">Ryan, L. (2008). Massacre in the Black War in Tasmania 1823–34: a case study of the Meander River Region, June 1827. </w:t>
      </w:r>
      <w:r>
        <w:rPr>
          <w:rFonts w:asciiTheme="minorHAnsi" w:hAnsiTheme="minorHAnsi"/>
          <w:i/>
          <w:sz w:val="24"/>
        </w:rPr>
        <w:t>Journal of Genocide Research, 10</w:t>
      </w:r>
      <w:r>
        <w:rPr>
          <w:rFonts w:asciiTheme="minorHAnsi" w:hAnsiTheme="minorHAnsi"/>
          <w:sz w:val="24"/>
        </w:rPr>
        <w:t>(4), 479-499. doi:10.1080/14623520802447834</w:t>
      </w:r>
    </w:p>
    <w:p w:rsidR="001F6438" w:rsidRDefault="001F6438" w:rsidP="001F6438">
      <w:pPr>
        <w:pStyle w:val="Default"/>
        <w:tabs>
          <w:tab w:val="left" w:pos="1050"/>
        </w:tabs>
        <w:spacing w:line="480" w:lineRule="auto"/>
        <w:ind w:left="1049" w:hanging="1049"/>
        <w:rPr>
          <w:rFonts w:asciiTheme="minorHAnsi" w:hAnsiTheme="minorHAnsi"/>
          <w:szCs w:val="22"/>
        </w:rPr>
      </w:pPr>
      <w:r>
        <w:rPr>
          <w:rFonts w:asciiTheme="minorHAnsi" w:hAnsiTheme="minorHAnsi"/>
          <w:szCs w:val="22"/>
        </w:rPr>
        <w:fldChar w:fldCharType="end"/>
      </w:r>
      <w:proofErr w:type="spellStart"/>
      <w:r>
        <w:rPr>
          <w:rFonts w:asciiTheme="minorHAnsi" w:hAnsiTheme="minorHAnsi"/>
          <w:szCs w:val="22"/>
        </w:rPr>
        <w:t>Tench</w:t>
      </w:r>
      <w:proofErr w:type="spellEnd"/>
      <w:r>
        <w:rPr>
          <w:rFonts w:asciiTheme="minorHAnsi" w:hAnsiTheme="minorHAnsi"/>
          <w:szCs w:val="22"/>
        </w:rPr>
        <w:t xml:space="preserve">, W. (1788). Chapter VIII: From the Fleet’s Arrival at Botany Bay to the Evacuation of it; and taking Possession of Port Jackson. Interviews with the Natives; and an Account of the Country about Botany Bay. In A narrative of the expedition to Botany Bay. </w:t>
      </w:r>
      <w:proofErr w:type="spellStart"/>
      <w:r>
        <w:rPr>
          <w:rFonts w:asciiTheme="minorHAnsi" w:hAnsiTheme="minorHAnsi"/>
          <w:szCs w:val="22"/>
        </w:rPr>
        <w:t>eBooks@Adelaide</w:t>
      </w:r>
      <w:proofErr w:type="spellEnd"/>
      <w:r>
        <w:rPr>
          <w:rFonts w:asciiTheme="minorHAnsi" w:hAnsiTheme="minorHAnsi"/>
          <w:szCs w:val="22"/>
        </w:rPr>
        <w:t xml:space="preserve"> 2006. Available at: http://ebooks.adelaide.edu.au/t/tench/watkin/botany/chapter8.html  </w:t>
      </w:r>
    </w:p>
    <w:p w:rsidR="001F6438" w:rsidRDefault="001F6438">
      <w:pPr>
        <w:rPr>
          <w:sz w:val="24"/>
          <w:szCs w:val="24"/>
        </w:rPr>
      </w:pPr>
      <w:r>
        <w:rPr>
          <w:sz w:val="24"/>
          <w:szCs w:val="24"/>
        </w:rPr>
        <w:br w:type="page"/>
      </w:r>
    </w:p>
    <w:p w:rsidR="0089516E" w:rsidRPr="00681525" w:rsidRDefault="00EE39CD" w:rsidP="00277616">
      <w:pPr>
        <w:spacing w:line="480" w:lineRule="auto"/>
        <w:rPr>
          <w:sz w:val="24"/>
          <w:szCs w:val="24"/>
        </w:rPr>
      </w:pPr>
      <w:r>
        <w:rPr>
          <w:sz w:val="24"/>
          <w:szCs w:val="24"/>
        </w:rPr>
        <w:lastRenderedPageBreak/>
        <w:t>CASE STUDY 1- EMPLOY</w:t>
      </w:r>
      <w:r w:rsidR="002C1F45" w:rsidRPr="00681525">
        <w:rPr>
          <w:sz w:val="24"/>
          <w:szCs w:val="24"/>
        </w:rPr>
        <w:t>MENT</w:t>
      </w:r>
    </w:p>
    <w:p w:rsidR="002C1F45" w:rsidRPr="00681525" w:rsidRDefault="00731C80" w:rsidP="00277616">
      <w:pPr>
        <w:autoSpaceDE w:val="0"/>
        <w:autoSpaceDN w:val="0"/>
        <w:adjustRightInd w:val="0"/>
        <w:spacing w:after="0" w:line="480" w:lineRule="auto"/>
        <w:rPr>
          <w:rFonts w:cs="GillSansMT"/>
          <w:sz w:val="24"/>
          <w:szCs w:val="24"/>
        </w:rPr>
      </w:pPr>
      <w:r w:rsidRPr="00681525">
        <w:rPr>
          <w:sz w:val="24"/>
          <w:szCs w:val="24"/>
        </w:rPr>
        <w:t xml:space="preserve">The disadvantages felt by the Indigenous population in regards to employment is profound. Indigenous Australians face much higher rates of unemployment than that of the non-Indigenous population. According to the Australian Bureau of Statistics (2013), Aboriginal and Torres Strait Islander people face an unemployment rate of 17.2%, compared to 5.5% for non-Indigenous people. There’s been little change in this circumstance, </w:t>
      </w:r>
      <w:r w:rsidR="0076437D" w:rsidRPr="00681525">
        <w:rPr>
          <w:sz w:val="24"/>
          <w:szCs w:val="24"/>
        </w:rPr>
        <w:t>though location has been seen to form a barrier, as “</w:t>
      </w:r>
      <w:r w:rsidR="0076437D" w:rsidRPr="00681525">
        <w:rPr>
          <w:rFonts w:cs="GillSansMT"/>
          <w:sz w:val="24"/>
          <w:szCs w:val="24"/>
        </w:rPr>
        <w:t>Indigenous people in these areas are disengaged from the labour market” (Australian Institute of Health and Welfare (AIHW), 2012, p. 9).</w:t>
      </w:r>
      <w:r w:rsidR="009D11EF" w:rsidRPr="00681525">
        <w:rPr>
          <w:rFonts w:cs="GillSansMT"/>
          <w:sz w:val="24"/>
          <w:szCs w:val="24"/>
        </w:rPr>
        <w:t xml:space="preserve"> Most of the Indigenous population consists of youth ages between 15-19 (Australian Bureau of </w:t>
      </w:r>
      <w:r w:rsidR="00D97C9E" w:rsidRPr="00681525">
        <w:rPr>
          <w:rFonts w:cs="GillSansMT"/>
          <w:sz w:val="24"/>
          <w:szCs w:val="24"/>
        </w:rPr>
        <w:t>Statistics, 2013</w:t>
      </w:r>
      <w:r w:rsidR="009D11EF" w:rsidRPr="00681525">
        <w:rPr>
          <w:rFonts w:cs="GillSansMT"/>
          <w:sz w:val="24"/>
          <w:szCs w:val="24"/>
        </w:rPr>
        <w:t xml:space="preserve">).  Of this age group, in 2011, 18% of these </w:t>
      </w:r>
      <w:r w:rsidR="00DF1A27" w:rsidRPr="00681525">
        <w:rPr>
          <w:rFonts w:cs="GillSansMT"/>
          <w:sz w:val="24"/>
          <w:szCs w:val="24"/>
        </w:rPr>
        <w:t xml:space="preserve">Indigenous youths were employed (Australian Bureau of </w:t>
      </w:r>
      <w:r w:rsidR="00D97C9E" w:rsidRPr="00681525">
        <w:rPr>
          <w:rFonts w:cs="GillSansMT"/>
          <w:sz w:val="24"/>
          <w:szCs w:val="24"/>
        </w:rPr>
        <w:t>Statistics, 2013</w:t>
      </w:r>
      <w:r w:rsidR="00DF1A27" w:rsidRPr="00681525">
        <w:rPr>
          <w:rFonts w:cs="GillSansMT"/>
          <w:sz w:val="24"/>
          <w:szCs w:val="24"/>
        </w:rPr>
        <w:t xml:space="preserve">).  </w:t>
      </w:r>
    </w:p>
    <w:p w:rsidR="0076437D" w:rsidRPr="00681525" w:rsidRDefault="0076437D" w:rsidP="00277616">
      <w:pPr>
        <w:autoSpaceDE w:val="0"/>
        <w:autoSpaceDN w:val="0"/>
        <w:adjustRightInd w:val="0"/>
        <w:spacing w:after="0" w:line="480" w:lineRule="auto"/>
        <w:rPr>
          <w:rFonts w:cs="GillSansMT"/>
          <w:sz w:val="24"/>
          <w:szCs w:val="24"/>
        </w:rPr>
      </w:pPr>
      <w:r w:rsidRPr="00681525">
        <w:rPr>
          <w:rFonts w:cs="GillSansMT"/>
          <w:sz w:val="24"/>
          <w:szCs w:val="24"/>
        </w:rPr>
        <w:t xml:space="preserve">The impact of this in Indigenous Australians and their communities can be seen through a variety of issues. Formal education qualifications led to the likelihood of successfully finding employment (Australian Bureau of </w:t>
      </w:r>
      <w:r w:rsidR="00D97C9E" w:rsidRPr="00681525">
        <w:rPr>
          <w:rFonts w:cs="GillSansMT"/>
          <w:sz w:val="24"/>
          <w:szCs w:val="24"/>
        </w:rPr>
        <w:t>Statistics, 2013</w:t>
      </w:r>
      <w:r w:rsidRPr="00681525">
        <w:rPr>
          <w:rFonts w:cs="GillSansMT"/>
          <w:sz w:val="24"/>
          <w:szCs w:val="24"/>
        </w:rPr>
        <w:t>)</w:t>
      </w:r>
      <w:r w:rsidR="00991862" w:rsidRPr="00681525">
        <w:rPr>
          <w:rFonts w:cs="GillSansMT"/>
          <w:sz w:val="24"/>
          <w:szCs w:val="24"/>
        </w:rPr>
        <w:t xml:space="preserve">. “Less than half of those without [these qualifications] were participating [in the labour force]” (Australian Bureau of </w:t>
      </w:r>
      <w:r w:rsidR="00D97C9E" w:rsidRPr="00681525">
        <w:rPr>
          <w:rFonts w:cs="GillSansMT"/>
          <w:sz w:val="24"/>
          <w:szCs w:val="24"/>
        </w:rPr>
        <w:t>Statistics, 2013</w:t>
      </w:r>
      <w:r w:rsidR="00991862" w:rsidRPr="00681525">
        <w:rPr>
          <w:rFonts w:cs="GillSansMT"/>
          <w:sz w:val="24"/>
          <w:szCs w:val="24"/>
        </w:rPr>
        <w:t>. Similarly, a link between welfare dependency and unemployment was highlighted by Martin (2001), who states, “fundamentally, welfare dependency has become a pervasive component on contemporary Aboriginal values—a mentality” (p.2). This demonstrates previous forced dependency has become entrenched in contemporary Indigenous society.</w:t>
      </w:r>
    </w:p>
    <w:p w:rsidR="00991862" w:rsidRPr="00681525" w:rsidRDefault="00703EB5" w:rsidP="00277616">
      <w:pPr>
        <w:autoSpaceDE w:val="0"/>
        <w:autoSpaceDN w:val="0"/>
        <w:adjustRightInd w:val="0"/>
        <w:spacing w:after="0" w:line="480" w:lineRule="auto"/>
        <w:rPr>
          <w:rFonts w:cs="GillSansMT"/>
          <w:sz w:val="24"/>
          <w:szCs w:val="24"/>
        </w:rPr>
      </w:pPr>
      <w:r w:rsidRPr="00681525">
        <w:rPr>
          <w:rFonts w:cs="GillSansMT"/>
          <w:sz w:val="24"/>
          <w:szCs w:val="24"/>
        </w:rPr>
        <w:t xml:space="preserve">Current policies and legislations being implemented on the circumstance of Indigenous unemployment include initiative such as the Indigenous Employment Policy (2009), which was an active attempt to encourage private sector employment through wage assistance, training and employment centres (AIHW, 2012, p.5). </w:t>
      </w:r>
      <w:r w:rsidR="00946BAC" w:rsidRPr="00681525">
        <w:rPr>
          <w:rFonts w:cs="GillSansMT"/>
          <w:sz w:val="24"/>
          <w:szCs w:val="24"/>
        </w:rPr>
        <w:t>Other programs, such as the Community Development Employment Program (CDEP) developed in 1977, use a “work-for-</w:t>
      </w:r>
      <w:r w:rsidR="00946BAC" w:rsidRPr="00681525">
        <w:rPr>
          <w:rFonts w:cs="GillSansMT"/>
          <w:sz w:val="24"/>
          <w:szCs w:val="24"/>
        </w:rPr>
        <w:lastRenderedPageBreak/>
        <w:t xml:space="preserve">the-dole” </w:t>
      </w:r>
      <w:r w:rsidR="00946BAC" w:rsidRPr="001C559E">
        <w:rPr>
          <w:rFonts w:cs="GillSansMT"/>
          <w:sz w:val="24"/>
          <w:szCs w:val="24"/>
        </w:rPr>
        <w:t>concept (</w:t>
      </w:r>
      <w:r w:rsidR="00790E5C" w:rsidRPr="001C559E">
        <w:rPr>
          <w:rFonts w:cs="GillSansMT"/>
          <w:sz w:val="24"/>
          <w:szCs w:val="24"/>
        </w:rPr>
        <w:t>Norris</w:t>
      </w:r>
      <w:r w:rsidR="00946BAC" w:rsidRPr="001C559E">
        <w:rPr>
          <w:rFonts w:cs="GillSansMT"/>
          <w:sz w:val="24"/>
          <w:szCs w:val="24"/>
        </w:rPr>
        <w:t xml:space="preserve">, </w:t>
      </w:r>
      <w:r w:rsidR="00790E5C" w:rsidRPr="001C559E">
        <w:rPr>
          <w:rFonts w:cs="GillSansMT"/>
          <w:sz w:val="24"/>
          <w:szCs w:val="24"/>
        </w:rPr>
        <w:t>1998</w:t>
      </w:r>
      <w:r w:rsidR="00946BAC" w:rsidRPr="001C559E">
        <w:rPr>
          <w:rFonts w:cs="GillSansMT"/>
          <w:sz w:val="24"/>
          <w:szCs w:val="24"/>
        </w:rPr>
        <w:t>, p.</w:t>
      </w:r>
      <w:r w:rsidR="001C559E" w:rsidRPr="001C559E">
        <w:rPr>
          <w:rFonts w:cs="GillSansMT"/>
          <w:sz w:val="24"/>
          <w:szCs w:val="24"/>
        </w:rPr>
        <w:t>28</w:t>
      </w:r>
      <w:r w:rsidR="00946BAC" w:rsidRPr="001C559E">
        <w:rPr>
          <w:rFonts w:cs="GillSansMT"/>
          <w:sz w:val="24"/>
          <w:szCs w:val="24"/>
        </w:rPr>
        <w:t>)</w:t>
      </w:r>
      <w:r w:rsidR="00885E91" w:rsidRPr="001C559E">
        <w:rPr>
          <w:rFonts w:cs="GillSansMT"/>
          <w:sz w:val="24"/>
          <w:szCs w:val="24"/>
        </w:rPr>
        <w:t>.</w:t>
      </w:r>
      <w:r w:rsidR="00885E91" w:rsidRPr="00681525">
        <w:rPr>
          <w:rFonts w:cs="GillSansMT"/>
          <w:sz w:val="24"/>
          <w:szCs w:val="24"/>
        </w:rPr>
        <w:t xml:space="preserve"> Legislation includes acts such as the </w:t>
      </w:r>
      <w:r w:rsidR="00885E91" w:rsidRPr="00681525">
        <w:rPr>
          <w:rFonts w:cs="GillSansMT"/>
          <w:i/>
          <w:sz w:val="24"/>
          <w:szCs w:val="24"/>
        </w:rPr>
        <w:t>Equal Opportunities Act 2010 (VIC)</w:t>
      </w:r>
      <w:r w:rsidR="00885E91" w:rsidRPr="00681525">
        <w:rPr>
          <w:rFonts w:cs="GillSansMT"/>
          <w:sz w:val="24"/>
          <w:szCs w:val="24"/>
        </w:rPr>
        <w:t>, which promotes anti-racial discrimination and harassment (</w:t>
      </w:r>
      <w:r w:rsidR="001C559E" w:rsidRPr="00681525">
        <w:rPr>
          <w:sz w:val="24"/>
          <w:szCs w:val="24"/>
        </w:rPr>
        <w:t>The Victorian Equal Opportunity and Human Rights Commission</w:t>
      </w:r>
      <w:r w:rsidR="001C559E">
        <w:rPr>
          <w:sz w:val="24"/>
          <w:szCs w:val="24"/>
        </w:rPr>
        <w:t xml:space="preserve">, </w:t>
      </w:r>
      <w:proofErr w:type="spellStart"/>
      <w:r w:rsidR="001C559E">
        <w:rPr>
          <w:sz w:val="24"/>
          <w:szCs w:val="24"/>
        </w:rPr>
        <w:t>n.d.</w:t>
      </w:r>
      <w:proofErr w:type="spellEnd"/>
      <w:r w:rsidR="00885E91" w:rsidRPr="00681525">
        <w:rPr>
          <w:rFonts w:cs="GillSansMT"/>
          <w:sz w:val="24"/>
          <w:szCs w:val="24"/>
        </w:rPr>
        <w:t xml:space="preserve">). </w:t>
      </w:r>
    </w:p>
    <w:p w:rsidR="005B1EE7" w:rsidRPr="00681525" w:rsidRDefault="007D68A8" w:rsidP="00277616">
      <w:pPr>
        <w:autoSpaceDE w:val="0"/>
        <w:autoSpaceDN w:val="0"/>
        <w:adjustRightInd w:val="0"/>
        <w:spacing w:after="0" w:line="480" w:lineRule="auto"/>
        <w:rPr>
          <w:rFonts w:cs="GillSansMT"/>
          <w:sz w:val="24"/>
          <w:szCs w:val="24"/>
        </w:rPr>
      </w:pPr>
      <w:r w:rsidRPr="00681525">
        <w:rPr>
          <w:rFonts w:cs="GillSansMT"/>
          <w:sz w:val="24"/>
          <w:szCs w:val="24"/>
        </w:rPr>
        <w:t>U</w:t>
      </w:r>
      <w:r w:rsidR="005B1EE7" w:rsidRPr="00681525">
        <w:rPr>
          <w:rFonts w:cs="GillSansMT"/>
          <w:sz w:val="24"/>
          <w:szCs w:val="24"/>
        </w:rPr>
        <w:t xml:space="preserve">nemployment disadvantages felt by Indigenous Australians can be traced back to </w:t>
      </w:r>
      <w:r w:rsidRPr="00681525">
        <w:rPr>
          <w:rFonts w:cs="GillSansMT"/>
          <w:sz w:val="24"/>
          <w:szCs w:val="24"/>
        </w:rPr>
        <w:t xml:space="preserve">European settlement. In 1907, the Harvester Judgement’s establishment of a minimum wage assumed Indigenous people to be “outside its coverage” (Norris, 1998, p.29). </w:t>
      </w:r>
      <w:r w:rsidR="001C0DCD" w:rsidRPr="00681525">
        <w:rPr>
          <w:rFonts w:cs="GillSansMT"/>
          <w:sz w:val="24"/>
          <w:szCs w:val="24"/>
        </w:rPr>
        <w:t>During the Great Depression, Indigenous workers were excluded from unemployment reliefs extended to Anglo-Australian citizens (Beckett, 1988, p.8). Placement onto missions and reserves meant the Indigenous Australians were then trained to be labourers and domestic servants. Equal pay was awarded to the Indigenous in 1965, however this led to the rapid increase in employment opportunities. Norris notes “without cheaper wages, there was less reason to employ Indigenous people” (Norris, 1998, p.29).</w:t>
      </w:r>
      <w:r w:rsidR="00432B06" w:rsidRPr="00681525">
        <w:rPr>
          <w:rFonts w:cs="GillSansMT"/>
          <w:sz w:val="24"/>
          <w:szCs w:val="24"/>
        </w:rPr>
        <w:t xml:space="preserve"> This initiation of unemployment for the Indigenous and the implementation of forced dependency on government welfare has led to a deeply entrenched welfare dependency cycle for the Indigenous people within contemporary society.</w:t>
      </w:r>
    </w:p>
    <w:p w:rsidR="00432B06" w:rsidRPr="00681525" w:rsidRDefault="00432B06" w:rsidP="00277616">
      <w:pPr>
        <w:autoSpaceDE w:val="0"/>
        <w:autoSpaceDN w:val="0"/>
        <w:adjustRightInd w:val="0"/>
        <w:spacing w:after="0" w:line="480" w:lineRule="auto"/>
        <w:rPr>
          <w:rFonts w:cs="GillSansMT"/>
          <w:sz w:val="24"/>
          <w:szCs w:val="24"/>
        </w:rPr>
      </w:pPr>
      <w:r w:rsidRPr="00681525">
        <w:rPr>
          <w:rFonts w:cs="GillSansMT"/>
          <w:sz w:val="24"/>
          <w:szCs w:val="24"/>
        </w:rPr>
        <w:t>Within the United Nations (UN) Declaration on the Rights of Indigenous Peoples, several articles are mentioned with increasing relevance to unemployment issues</w:t>
      </w:r>
      <w:r w:rsidR="00C15FA3" w:rsidRPr="00681525">
        <w:rPr>
          <w:rFonts w:cs="GillSansMT"/>
          <w:sz w:val="24"/>
          <w:szCs w:val="24"/>
        </w:rPr>
        <w:t xml:space="preserve">, either pre-emptive notions </w:t>
      </w:r>
      <w:r w:rsidR="00DF1A27" w:rsidRPr="00681525">
        <w:rPr>
          <w:rFonts w:cs="GillSansMT"/>
          <w:sz w:val="24"/>
          <w:szCs w:val="24"/>
        </w:rPr>
        <w:t xml:space="preserve">dealing with other social justice issues </w:t>
      </w:r>
      <w:r w:rsidR="00C15FA3" w:rsidRPr="00681525">
        <w:rPr>
          <w:rFonts w:cs="GillSansMT"/>
          <w:sz w:val="24"/>
          <w:szCs w:val="24"/>
        </w:rPr>
        <w:t xml:space="preserve">or </w:t>
      </w:r>
      <w:r w:rsidR="00DF1A27" w:rsidRPr="00681525">
        <w:rPr>
          <w:rFonts w:cs="GillSansMT"/>
          <w:sz w:val="24"/>
          <w:szCs w:val="24"/>
        </w:rPr>
        <w:t xml:space="preserve">reactive measures in specific regard to unemployment issues. </w:t>
      </w:r>
    </w:p>
    <w:p w:rsidR="0076437D" w:rsidRDefault="00C22F40" w:rsidP="00277616">
      <w:pPr>
        <w:autoSpaceDE w:val="0"/>
        <w:autoSpaceDN w:val="0"/>
        <w:adjustRightInd w:val="0"/>
        <w:spacing w:after="0" w:line="480" w:lineRule="auto"/>
        <w:rPr>
          <w:rFonts w:cs="GillSansMT"/>
          <w:sz w:val="24"/>
          <w:szCs w:val="24"/>
        </w:rPr>
      </w:pPr>
      <w:r w:rsidRPr="00681525">
        <w:rPr>
          <w:rFonts w:cs="GillSansMT"/>
          <w:sz w:val="24"/>
          <w:szCs w:val="24"/>
        </w:rPr>
        <w:t xml:space="preserve">Articles 2 and 17 address </w:t>
      </w:r>
      <w:r w:rsidR="000E0C6F" w:rsidRPr="00681525">
        <w:rPr>
          <w:rFonts w:cs="GillSansMT"/>
          <w:sz w:val="24"/>
          <w:szCs w:val="24"/>
        </w:rPr>
        <w:t xml:space="preserve">the right to freedom from discrimination, </w:t>
      </w:r>
      <w:r w:rsidR="005D6018" w:rsidRPr="00681525">
        <w:rPr>
          <w:rFonts w:cs="GillSansMT"/>
          <w:sz w:val="24"/>
          <w:szCs w:val="24"/>
        </w:rPr>
        <w:t xml:space="preserve">including conditions of labour, employment and salary. The </w:t>
      </w:r>
      <w:r w:rsidR="005D6018" w:rsidRPr="00681525">
        <w:rPr>
          <w:rFonts w:cs="GillSansMT"/>
          <w:i/>
          <w:sz w:val="24"/>
          <w:szCs w:val="24"/>
        </w:rPr>
        <w:t xml:space="preserve">Equal Opportunity Act 2010 (VIC) </w:t>
      </w:r>
      <w:r w:rsidR="000304C0" w:rsidRPr="00681525">
        <w:rPr>
          <w:rFonts w:cs="GillSansMT"/>
          <w:sz w:val="24"/>
          <w:szCs w:val="24"/>
        </w:rPr>
        <w:t>and the</w:t>
      </w:r>
      <w:r w:rsidR="005D6018" w:rsidRPr="00681525">
        <w:rPr>
          <w:rFonts w:cs="GillSansMT"/>
          <w:i/>
          <w:sz w:val="24"/>
          <w:szCs w:val="24"/>
        </w:rPr>
        <w:t xml:space="preserve"> Racial and Religion Tolerance Act 2001 (VIC)</w:t>
      </w:r>
      <w:r w:rsidR="005D6018" w:rsidRPr="00681525">
        <w:rPr>
          <w:rFonts w:cs="GillSansMT"/>
          <w:sz w:val="24"/>
          <w:szCs w:val="24"/>
        </w:rPr>
        <w:t xml:space="preserve"> identify both of these articles, by protecting the Indigenous people from discrimination, harassment and victimisation in the workplace.</w:t>
      </w:r>
      <w:r w:rsidR="00F239FE" w:rsidRPr="00681525">
        <w:rPr>
          <w:rFonts w:cs="GillSansMT"/>
          <w:sz w:val="24"/>
          <w:szCs w:val="24"/>
        </w:rPr>
        <w:t xml:space="preserve"> This can improve the Indigenous Australian circumstance of unemployment by ensuring </w:t>
      </w:r>
      <w:r w:rsidR="00F239FE" w:rsidRPr="00681525">
        <w:rPr>
          <w:rFonts w:cs="GillSansMT"/>
          <w:sz w:val="24"/>
          <w:szCs w:val="24"/>
        </w:rPr>
        <w:lastRenderedPageBreak/>
        <w:t xml:space="preserve">prejudice and racial discrimination do not play a part in their </w:t>
      </w:r>
      <w:r w:rsidR="00E43D2C" w:rsidRPr="00681525">
        <w:rPr>
          <w:rFonts w:cs="GillSansMT"/>
          <w:sz w:val="24"/>
          <w:szCs w:val="24"/>
        </w:rPr>
        <w:t xml:space="preserve">attempts to gain successful </w:t>
      </w:r>
      <w:r w:rsidR="00F239FE" w:rsidRPr="00681525">
        <w:rPr>
          <w:rFonts w:cs="GillSansMT"/>
          <w:sz w:val="24"/>
          <w:szCs w:val="24"/>
        </w:rPr>
        <w:t>employment.</w:t>
      </w:r>
    </w:p>
    <w:p w:rsidR="007060DB" w:rsidRDefault="007060DB">
      <w:pPr>
        <w:rPr>
          <w:rFonts w:cs="GillSansMT"/>
          <w:sz w:val="24"/>
          <w:szCs w:val="24"/>
        </w:rPr>
      </w:pPr>
      <w:r>
        <w:rPr>
          <w:rFonts w:cs="GillSansMT"/>
          <w:sz w:val="24"/>
          <w:szCs w:val="24"/>
        </w:rPr>
        <w:br w:type="page"/>
      </w:r>
    </w:p>
    <w:p w:rsidR="002C1F45" w:rsidRPr="00681525" w:rsidRDefault="002C1F45" w:rsidP="00277616">
      <w:pPr>
        <w:spacing w:line="480" w:lineRule="auto"/>
        <w:rPr>
          <w:sz w:val="24"/>
          <w:szCs w:val="24"/>
        </w:rPr>
      </w:pPr>
      <w:r w:rsidRPr="00681525">
        <w:rPr>
          <w:sz w:val="24"/>
          <w:szCs w:val="24"/>
        </w:rPr>
        <w:lastRenderedPageBreak/>
        <w:t>CASE STUDY 2- THE CRIMINAL JUSTICE SYSTEM</w:t>
      </w:r>
    </w:p>
    <w:p w:rsidR="007D68A8" w:rsidRPr="00681525" w:rsidRDefault="00E43D2C" w:rsidP="00277616">
      <w:pPr>
        <w:spacing w:line="480" w:lineRule="auto"/>
        <w:rPr>
          <w:sz w:val="24"/>
          <w:szCs w:val="24"/>
        </w:rPr>
      </w:pPr>
      <w:r w:rsidRPr="00681525">
        <w:rPr>
          <w:sz w:val="24"/>
          <w:szCs w:val="24"/>
        </w:rPr>
        <w:t xml:space="preserve">Indigenous Australians also face great disadvantage within the </w:t>
      </w:r>
      <w:r w:rsidR="00850336" w:rsidRPr="00681525">
        <w:rPr>
          <w:sz w:val="24"/>
          <w:szCs w:val="24"/>
        </w:rPr>
        <w:t>criminal justice system. 24% of the national prisoner population consists of Aboriginal and Torres Strait citizens (Austral</w:t>
      </w:r>
      <w:r w:rsidR="00D97C9E" w:rsidRPr="00681525">
        <w:rPr>
          <w:sz w:val="24"/>
          <w:szCs w:val="24"/>
        </w:rPr>
        <w:t>ian Bureau of Statistics, 2013</w:t>
      </w:r>
      <w:r w:rsidR="00850336" w:rsidRPr="00681525">
        <w:rPr>
          <w:sz w:val="24"/>
          <w:szCs w:val="24"/>
        </w:rPr>
        <w:t>) This becomes a greater matter of concern when it is noted that Indigenous population only makes up 2% of the overall Australian nationality (Beckett, 1988, p.4).</w:t>
      </w:r>
      <w:r w:rsidR="000070A9" w:rsidRPr="00681525">
        <w:rPr>
          <w:sz w:val="24"/>
          <w:szCs w:val="24"/>
        </w:rPr>
        <w:t xml:space="preserve"> Contemporary relations between Indigenous people and the police force are hostile due to a long, harsh series of interactions throughout the past. </w:t>
      </w:r>
      <w:r w:rsidR="001E207C" w:rsidRPr="00681525">
        <w:rPr>
          <w:sz w:val="24"/>
          <w:szCs w:val="24"/>
        </w:rPr>
        <w:t>Johnston determined that “their Aboriginality played a significant and in most cases dominant role in their being in custody” (Johnston, 1991, Volume 1, 1).</w:t>
      </w:r>
    </w:p>
    <w:p w:rsidR="001E207C" w:rsidRPr="00681525" w:rsidRDefault="00FF67F0" w:rsidP="00277616">
      <w:pPr>
        <w:spacing w:line="480" w:lineRule="auto"/>
        <w:rPr>
          <w:sz w:val="24"/>
          <w:szCs w:val="24"/>
        </w:rPr>
      </w:pPr>
      <w:r w:rsidRPr="00681525">
        <w:rPr>
          <w:sz w:val="24"/>
          <w:szCs w:val="24"/>
        </w:rPr>
        <w:t>The impact of this disadvantage in the criminal justice system on the Indigenous population and community has a direct relationship to other social justice disadvantages</w:t>
      </w:r>
      <w:r w:rsidR="009D6B22" w:rsidRPr="00681525">
        <w:rPr>
          <w:sz w:val="24"/>
          <w:szCs w:val="24"/>
        </w:rPr>
        <w:t>. “Unemployment is strongly associated with high rates or arrest” (Hunter, 2000, p.11).</w:t>
      </w:r>
      <w:r w:rsidR="00A2608F" w:rsidRPr="00681525">
        <w:rPr>
          <w:sz w:val="24"/>
          <w:szCs w:val="24"/>
        </w:rPr>
        <w:t xml:space="preserve"> Therefore it can also be noted that juvenile detention sentences can be correlated to a lack of education.</w:t>
      </w:r>
      <w:r w:rsidR="00300758" w:rsidRPr="00681525">
        <w:rPr>
          <w:sz w:val="24"/>
          <w:szCs w:val="24"/>
        </w:rPr>
        <w:t xml:space="preserve"> The Indigenous juveniles are not given the same diversionary opportunities as non-Indigenous juveniles, which indicates racial discrimination.</w:t>
      </w:r>
      <w:r w:rsidR="00E327DB" w:rsidRPr="00681525">
        <w:rPr>
          <w:sz w:val="24"/>
          <w:szCs w:val="24"/>
        </w:rPr>
        <w:t xml:space="preserve"> Similarly, socio-economic disadvantage is another factor influencing crimina</w:t>
      </w:r>
      <w:r w:rsidR="00A171A4" w:rsidRPr="00681525">
        <w:rPr>
          <w:sz w:val="24"/>
          <w:szCs w:val="24"/>
        </w:rPr>
        <w:t>l justice disadvantage. These impacts are a cyclical issue, due to the history of Indigenous relations with the Australian government and still prominent situations of Indigenous racial discrimination.</w:t>
      </w:r>
    </w:p>
    <w:p w:rsidR="00803F1F" w:rsidRPr="00681525" w:rsidRDefault="009107C4" w:rsidP="00277616">
      <w:pPr>
        <w:spacing w:line="480" w:lineRule="auto"/>
        <w:rPr>
          <w:sz w:val="24"/>
          <w:szCs w:val="24"/>
        </w:rPr>
      </w:pPr>
      <w:r w:rsidRPr="00681525">
        <w:rPr>
          <w:sz w:val="24"/>
          <w:szCs w:val="24"/>
        </w:rPr>
        <w:t xml:space="preserve">Current policies and legislations surrounding the criminal justice system for Indigenous Australians include the </w:t>
      </w:r>
      <w:r w:rsidRPr="00681525">
        <w:rPr>
          <w:i/>
          <w:sz w:val="24"/>
          <w:szCs w:val="24"/>
        </w:rPr>
        <w:t>Racial Discrimination Act 1975 (</w:t>
      </w:r>
      <w:proofErr w:type="spellStart"/>
      <w:r w:rsidRPr="00681525">
        <w:rPr>
          <w:i/>
          <w:sz w:val="24"/>
          <w:szCs w:val="24"/>
        </w:rPr>
        <w:t>Cth</w:t>
      </w:r>
      <w:proofErr w:type="spellEnd"/>
      <w:r w:rsidRPr="00681525">
        <w:rPr>
          <w:i/>
          <w:sz w:val="24"/>
          <w:szCs w:val="24"/>
        </w:rPr>
        <w:t>)</w:t>
      </w:r>
      <w:r w:rsidRPr="00681525">
        <w:rPr>
          <w:sz w:val="24"/>
          <w:szCs w:val="24"/>
        </w:rPr>
        <w:t xml:space="preserve">, which </w:t>
      </w:r>
      <w:r w:rsidR="0083696D" w:rsidRPr="00681525">
        <w:rPr>
          <w:sz w:val="24"/>
          <w:szCs w:val="24"/>
        </w:rPr>
        <w:t>strives to promote equality amongst all races in any circumstance (</w:t>
      </w:r>
      <w:r w:rsidR="00277616">
        <w:rPr>
          <w:sz w:val="24"/>
          <w:szCs w:val="24"/>
        </w:rPr>
        <w:t xml:space="preserve">Australian Human Rights Commission, </w:t>
      </w:r>
      <w:proofErr w:type="spellStart"/>
      <w:r w:rsidR="00277616">
        <w:rPr>
          <w:sz w:val="24"/>
          <w:szCs w:val="24"/>
        </w:rPr>
        <w:t>n.d.</w:t>
      </w:r>
      <w:proofErr w:type="spellEnd"/>
      <w:r w:rsidR="0083696D" w:rsidRPr="00681525">
        <w:rPr>
          <w:sz w:val="24"/>
          <w:szCs w:val="24"/>
        </w:rPr>
        <w:t xml:space="preserve">). In order to help safeguard and promote the legal rights help by Indigenous Australians, the Royal Commission in Aboriginal Deaths in Custody developed the Aboriginal and Torres </w:t>
      </w:r>
      <w:r w:rsidR="0083696D" w:rsidRPr="00681525">
        <w:rPr>
          <w:sz w:val="24"/>
          <w:szCs w:val="24"/>
        </w:rPr>
        <w:lastRenderedPageBreak/>
        <w:t>Strait Islander Legal Services. While the program is a step in the right direction, lack of resources and an influx of young and inexperienced representatives (</w:t>
      </w:r>
      <w:proofErr w:type="spellStart"/>
      <w:r w:rsidR="0083696D" w:rsidRPr="00681525">
        <w:rPr>
          <w:sz w:val="24"/>
          <w:szCs w:val="24"/>
        </w:rPr>
        <w:t>Cuneen</w:t>
      </w:r>
      <w:proofErr w:type="spellEnd"/>
      <w:r w:rsidR="0083696D" w:rsidRPr="00681525">
        <w:rPr>
          <w:sz w:val="24"/>
          <w:szCs w:val="24"/>
        </w:rPr>
        <w:t>, 2008, p.331)</w:t>
      </w:r>
      <w:r w:rsidR="00255051" w:rsidRPr="00681525">
        <w:rPr>
          <w:sz w:val="24"/>
          <w:szCs w:val="24"/>
        </w:rPr>
        <w:t>.</w:t>
      </w:r>
    </w:p>
    <w:p w:rsidR="00255051" w:rsidRPr="00681525" w:rsidRDefault="003A20AB" w:rsidP="00277616">
      <w:pPr>
        <w:spacing w:line="480" w:lineRule="auto"/>
        <w:rPr>
          <w:sz w:val="24"/>
          <w:szCs w:val="24"/>
        </w:rPr>
      </w:pPr>
      <w:r w:rsidRPr="00681525">
        <w:rPr>
          <w:sz w:val="24"/>
          <w:szCs w:val="24"/>
        </w:rPr>
        <w:t>The historical contributions to the current criminal justice syste</w:t>
      </w:r>
      <w:r w:rsidR="007640EE" w:rsidRPr="00681525">
        <w:rPr>
          <w:sz w:val="24"/>
          <w:szCs w:val="24"/>
        </w:rPr>
        <w:t>m circumstance is rooted in the creation of that system between 1788 and 1909 (Davis, 1999, p.2). The missions and reserves onto which the Indigenous people were moved can be considered synonymous with prisons, however it is the harsh European policing and Indigenous retaliation that has set up the conflict between the criminal justice system and the Indigenous Australians (Davis, 1999, p.3).</w:t>
      </w:r>
      <w:r w:rsidR="002B36EC" w:rsidRPr="00681525">
        <w:rPr>
          <w:sz w:val="24"/>
          <w:szCs w:val="24"/>
        </w:rPr>
        <w:t xml:space="preserve"> This can be seen to be through the effects of violence, segregation, control and surveillance under the Protections Acts of the 20</w:t>
      </w:r>
      <w:r w:rsidR="002B36EC" w:rsidRPr="00681525">
        <w:rPr>
          <w:sz w:val="24"/>
          <w:szCs w:val="24"/>
          <w:vertAlign w:val="superscript"/>
        </w:rPr>
        <w:t>th</w:t>
      </w:r>
      <w:r w:rsidR="002B36EC" w:rsidRPr="00681525">
        <w:rPr>
          <w:sz w:val="24"/>
          <w:szCs w:val="24"/>
        </w:rPr>
        <w:t xml:space="preserve"> Century.</w:t>
      </w:r>
      <w:r w:rsidR="00C1321F" w:rsidRPr="00681525">
        <w:rPr>
          <w:sz w:val="24"/>
          <w:szCs w:val="24"/>
        </w:rPr>
        <w:t xml:space="preserve"> The 1901 Federation allowed the states to have control over Indigenous affairs, which </w:t>
      </w:r>
      <w:r w:rsidR="002B36EC" w:rsidRPr="00681525">
        <w:rPr>
          <w:sz w:val="24"/>
          <w:szCs w:val="24"/>
        </w:rPr>
        <w:t>instilled further bad relations (Beckett, 1988, p.6). The national inquiry of the Royal Commission into the Aboriginal Deaths in Custody in 1987 brought to light the issues of historical influence over the over-representation of Indigenous Australians in the criminal justice system.</w:t>
      </w:r>
    </w:p>
    <w:p w:rsidR="00006A4F" w:rsidRPr="00C63115" w:rsidRDefault="002B36EC" w:rsidP="00C63115">
      <w:pPr>
        <w:spacing w:line="480" w:lineRule="auto"/>
        <w:rPr>
          <w:rFonts w:cs="GillSansMT"/>
          <w:sz w:val="24"/>
          <w:szCs w:val="24"/>
        </w:rPr>
      </w:pPr>
      <w:r w:rsidRPr="00681525">
        <w:rPr>
          <w:rFonts w:cs="GillSansMT"/>
          <w:sz w:val="24"/>
          <w:szCs w:val="24"/>
        </w:rPr>
        <w:t>Within the UN Declaration on the Rights of Indigenous Peoples</w:t>
      </w:r>
      <w:r w:rsidR="00F36EEC" w:rsidRPr="00681525">
        <w:rPr>
          <w:rFonts w:cs="GillSansMT"/>
          <w:sz w:val="24"/>
          <w:szCs w:val="24"/>
        </w:rPr>
        <w:t xml:space="preserve">, several articles are mentioned with increasing relevance to issues with the criminal justice system. </w:t>
      </w:r>
      <w:r w:rsidR="00244F4F" w:rsidRPr="00681525">
        <w:rPr>
          <w:rFonts w:cs="GillSansMT"/>
          <w:sz w:val="24"/>
          <w:szCs w:val="24"/>
        </w:rPr>
        <w:t>Article 2 indicates that Indigenous are entitled to the same freedoms and equalities of non-Indigenous from discrimination. This can improve Indigenous circumstance as it prevents the arrest of these people based on their ‘Aboriginality’</w:t>
      </w:r>
      <w:r w:rsidR="002300CF" w:rsidRPr="00681525">
        <w:rPr>
          <w:rFonts w:cs="GillSansMT"/>
          <w:sz w:val="24"/>
          <w:szCs w:val="24"/>
        </w:rPr>
        <w:t xml:space="preserve">. The Australian government ensures the enforcement of this right through the development of the </w:t>
      </w:r>
      <w:r w:rsidR="002300CF" w:rsidRPr="00681525">
        <w:rPr>
          <w:rFonts w:cs="GillSansMT"/>
          <w:i/>
          <w:sz w:val="24"/>
          <w:szCs w:val="24"/>
        </w:rPr>
        <w:t>Racial Discrimination Act 1975 (</w:t>
      </w:r>
      <w:proofErr w:type="spellStart"/>
      <w:r w:rsidR="002300CF" w:rsidRPr="00681525">
        <w:rPr>
          <w:rFonts w:cs="GillSansMT"/>
          <w:i/>
          <w:sz w:val="24"/>
          <w:szCs w:val="24"/>
        </w:rPr>
        <w:t>Cth</w:t>
      </w:r>
      <w:proofErr w:type="spellEnd"/>
      <w:r w:rsidR="002300CF" w:rsidRPr="00681525">
        <w:rPr>
          <w:rFonts w:cs="GillSansMT"/>
          <w:i/>
          <w:sz w:val="24"/>
          <w:szCs w:val="24"/>
        </w:rPr>
        <w:t>)</w:t>
      </w:r>
      <w:r w:rsidR="002300CF" w:rsidRPr="00681525">
        <w:rPr>
          <w:rFonts w:cs="GillSansMT"/>
          <w:sz w:val="24"/>
          <w:szCs w:val="24"/>
        </w:rPr>
        <w:t xml:space="preserve">. Article 14 articulates the right to education, which can work as a preventative measure; enables the avoidance of juvenile incarceration. </w:t>
      </w:r>
      <w:r w:rsidR="00B40852" w:rsidRPr="00681525">
        <w:rPr>
          <w:rFonts w:cs="GillSansMT"/>
          <w:sz w:val="24"/>
          <w:szCs w:val="24"/>
        </w:rPr>
        <w:t xml:space="preserve">These rights and their reflective legislative measures can help assist in the reduction of the Indigenous population within the criminal justice system </w:t>
      </w:r>
      <w:r w:rsidR="00E64D84" w:rsidRPr="00681525">
        <w:rPr>
          <w:rFonts w:cs="GillSansMT"/>
          <w:sz w:val="24"/>
          <w:szCs w:val="24"/>
        </w:rPr>
        <w:t>through ensuring equal opportunity and anti-discrimination.</w:t>
      </w:r>
    </w:p>
    <w:p w:rsidR="001E207C" w:rsidRPr="00681525" w:rsidRDefault="00255051" w:rsidP="00277616">
      <w:pPr>
        <w:spacing w:line="480" w:lineRule="auto"/>
        <w:rPr>
          <w:sz w:val="24"/>
          <w:szCs w:val="24"/>
        </w:rPr>
      </w:pPr>
      <w:r w:rsidRPr="00681525">
        <w:rPr>
          <w:sz w:val="24"/>
          <w:szCs w:val="24"/>
        </w:rPr>
        <w:lastRenderedPageBreak/>
        <w:t>References</w:t>
      </w:r>
      <w:r w:rsidR="001F6438">
        <w:rPr>
          <w:sz w:val="24"/>
          <w:szCs w:val="24"/>
        </w:rPr>
        <w:t xml:space="preserve"> Part B</w:t>
      </w:r>
    </w:p>
    <w:p w:rsidR="00D97C9E" w:rsidRPr="00681525" w:rsidRDefault="00D97C9E" w:rsidP="00006A4F">
      <w:pPr>
        <w:spacing w:line="480" w:lineRule="auto"/>
        <w:ind w:left="851" w:hanging="851"/>
        <w:rPr>
          <w:sz w:val="24"/>
          <w:szCs w:val="24"/>
        </w:rPr>
      </w:pPr>
      <w:r w:rsidRPr="00681525">
        <w:rPr>
          <w:sz w:val="24"/>
          <w:szCs w:val="24"/>
        </w:rPr>
        <w:t xml:space="preserve">Australian Bureau of Statistics. (2013). </w:t>
      </w:r>
      <w:r w:rsidRPr="00681525">
        <w:rPr>
          <w:sz w:val="24"/>
          <w:szCs w:val="24"/>
          <w:lang w:val="en"/>
        </w:rPr>
        <w:t>Australian Social Trends, 2013</w:t>
      </w:r>
      <w:r w:rsidRPr="00681525">
        <w:rPr>
          <w:sz w:val="24"/>
          <w:szCs w:val="24"/>
        </w:rPr>
        <w:t xml:space="preserve">. , Australian Bureau of Statistics, Canberra. Available at: </w:t>
      </w:r>
      <w:hyperlink r:id="rId7" w:history="1">
        <w:r w:rsidRPr="00681525">
          <w:rPr>
            <w:rStyle w:val="Hyperlink"/>
            <w:sz w:val="24"/>
            <w:szCs w:val="24"/>
          </w:rPr>
          <w:t>http://www.abs.gov.au/ausstats/abs@.nsf/Lookup/4102.0Main+Features20Nov+2013</w:t>
        </w:r>
      </w:hyperlink>
      <w:r w:rsidRPr="00681525">
        <w:rPr>
          <w:sz w:val="24"/>
          <w:szCs w:val="24"/>
        </w:rPr>
        <w:t xml:space="preserve"> </w:t>
      </w:r>
    </w:p>
    <w:p w:rsidR="005978F9" w:rsidRPr="00681525" w:rsidRDefault="005978F9" w:rsidP="00006A4F">
      <w:pPr>
        <w:spacing w:line="480" w:lineRule="auto"/>
        <w:ind w:left="851" w:hanging="851"/>
        <w:rPr>
          <w:sz w:val="24"/>
          <w:szCs w:val="24"/>
        </w:rPr>
      </w:pPr>
      <w:r w:rsidRPr="00681525">
        <w:rPr>
          <w:sz w:val="24"/>
          <w:szCs w:val="24"/>
        </w:rPr>
        <w:t>Australian Bureau of Statistics. (2011).</w:t>
      </w:r>
      <w:r w:rsidRPr="00681525">
        <w:rPr>
          <w:sz w:val="24"/>
          <w:szCs w:val="24"/>
          <w:lang w:val="en"/>
        </w:rPr>
        <w:t xml:space="preserve"> Trends in juvenile detention in Australia, 2011</w:t>
      </w:r>
      <w:r w:rsidRPr="00681525">
        <w:rPr>
          <w:sz w:val="24"/>
          <w:szCs w:val="24"/>
        </w:rPr>
        <w:t>. , Australian Bureau of Statistics, Canberra. Available at:</w:t>
      </w:r>
      <w:r w:rsidR="00681525" w:rsidRPr="00681525">
        <w:rPr>
          <w:sz w:val="24"/>
          <w:szCs w:val="24"/>
        </w:rPr>
        <w:t xml:space="preserve"> </w:t>
      </w:r>
      <w:hyperlink r:id="rId8" w:history="1">
        <w:r w:rsidR="00681525" w:rsidRPr="00681525">
          <w:rPr>
            <w:rStyle w:val="Hyperlink"/>
            <w:sz w:val="24"/>
            <w:szCs w:val="24"/>
          </w:rPr>
          <w:t>http://www.aic.gov.au/publications/current%20series/tandi/401-420/tandi416.html</w:t>
        </w:r>
      </w:hyperlink>
      <w:r w:rsidR="00681525" w:rsidRPr="00681525">
        <w:rPr>
          <w:sz w:val="24"/>
          <w:szCs w:val="24"/>
        </w:rPr>
        <w:t xml:space="preserve"> </w:t>
      </w:r>
    </w:p>
    <w:p w:rsidR="00FD5C71" w:rsidRPr="00681525" w:rsidRDefault="00FD5C71" w:rsidP="00006A4F">
      <w:pPr>
        <w:spacing w:line="480" w:lineRule="auto"/>
        <w:ind w:left="851" w:hanging="851"/>
        <w:rPr>
          <w:sz w:val="24"/>
          <w:szCs w:val="24"/>
          <w:lang w:val="en"/>
        </w:rPr>
      </w:pPr>
      <w:r w:rsidRPr="00681525">
        <w:rPr>
          <w:sz w:val="24"/>
          <w:szCs w:val="24"/>
        </w:rPr>
        <w:t>Australian Human Rights Commission. (</w:t>
      </w:r>
      <w:proofErr w:type="spellStart"/>
      <w:r w:rsidRPr="00681525">
        <w:rPr>
          <w:sz w:val="24"/>
          <w:szCs w:val="24"/>
        </w:rPr>
        <w:t>n.d.</w:t>
      </w:r>
      <w:proofErr w:type="spellEnd"/>
      <w:r w:rsidRPr="00681525">
        <w:rPr>
          <w:sz w:val="24"/>
          <w:szCs w:val="24"/>
        </w:rPr>
        <w:t xml:space="preserve">). </w:t>
      </w:r>
      <w:r w:rsidRPr="00681525">
        <w:rPr>
          <w:sz w:val="24"/>
          <w:szCs w:val="24"/>
          <w:lang w:val="en"/>
        </w:rPr>
        <w:t xml:space="preserve">United Nations Declaration on the Rights of Indigenous Peoples. In </w:t>
      </w:r>
      <w:r w:rsidRPr="00681525">
        <w:rPr>
          <w:i/>
          <w:sz w:val="24"/>
          <w:szCs w:val="24"/>
          <w:lang w:val="en"/>
        </w:rPr>
        <w:t>Australian Human Rights Commission</w:t>
      </w:r>
      <w:r w:rsidRPr="00681525">
        <w:rPr>
          <w:sz w:val="24"/>
          <w:szCs w:val="24"/>
          <w:lang w:val="en"/>
        </w:rPr>
        <w:t xml:space="preserve">. Retrieved from: </w:t>
      </w:r>
      <w:hyperlink r:id="rId9" w:history="1">
        <w:r w:rsidRPr="00681525">
          <w:rPr>
            <w:rStyle w:val="Hyperlink"/>
            <w:sz w:val="24"/>
            <w:szCs w:val="24"/>
            <w:lang w:val="en"/>
          </w:rPr>
          <w:t>https://www.humanrights.gov.au/publications/un-declaration-rights-indigenous-peoples-1</w:t>
        </w:r>
      </w:hyperlink>
      <w:r w:rsidRPr="00681525">
        <w:rPr>
          <w:sz w:val="24"/>
          <w:szCs w:val="24"/>
          <w:lang w:val="en"/>
        </w:rPr>
        <w:t xml:space="preserve"> </w:t>
      </w:r>
    </w:p>
    <w:p w:rsidR="00A62164" w:rsidRPr="00681525" w:rsidRDefault="00A62164" w:rsidP="00006A4F">
      <w:pPr>
        <w:spacing w:line="480" w:lineRule="auto"/>
        <w:ind w:left="851" w:hanging="851"/>
        <w:rPr>
          <w:sz w:val="24"/>
          <w:szCs w:val="24"/>
          <w:lang w:val="en"/>
        </w:rPr>
      </w:pPr>
      <w:r w:rsidRPr="00681525">
        <w:rPr>
          <w:sz w:val="24"/>
          <w:szCs w:val="24"/>
        </w:rPr>
        <w:t>Australian Human Rights Commission. (</w:t>
      </w:r>
      <w:proofErr w:type="spellStart"/>
      <w:r w:rsidRPr="00681525">
        <w:rPr>
          <w:sz w:val="24"/>
          <w:szCs w:val="24"/>
        </w:rPr>
        <w:t>n.d.</w:t>
      </w:r>
      <w:proofErr w:type="spellEnd"/>
      <w:r w:rsidRPr="00681525">
        <w:rPr>
          <w:sz w:val="24"/>
          <w:szCs w:val="24"/>
        </w:rPr>
        <w:t xml:space="preserve">). </w:t>
      </w:r>
      <w:r w:rsidRPr="00681525">
        <w:rPr>
          <w:sz w:val="24"/>
          <w:szCs w:val="24"/>
          <w:lang w:val="en"/>
        </w:rPr>
        <w:t xml:space="preserve">Legislation. In </w:t>
      </w:r>
      <w:r w:rsidRPr="00681525">
        <w:rPr>
          <w:i/>
          <w:sz w:val="24"/>
          <w:szCs w:val="24"/>
          <w:lang w:val="en"/>
        </w:rPr>
        <w:t>Australian Human Rights Commission</w:t>
      </w:r>
      <w:r w:rsidRPr="00681525">
        <w:rPr>
          <w:sz w:val="24"/>
          <w:szCs w:val="24"/>
          <w:lang w:val="en"/>
        </w:rPr>
        <w:t xml:space="preserve">. Retrieved from: </w:t>
      </w:r>
      <w:hyperlink r:id="rId10" w:history="1">
        <w:r w:rsidRPr="00681525">
          <w:rPr>
            <w:rStyle w:val="Hyperlink"/>
            <w:sz w:val="24"/>
            <w:szCs w:val="24"/>
            <w:lang w:val="en"/>
          </w:rPr>
          <w:t>https://www.humanrights.gov.au/our-work/legal/legislation</w:t>
        </w:r>
      </w:hyperlink>
      <w:r w:rsidRPr="00681525">
        <w:rPr>
          <w:sz w:val="24"/>
          <w:szCs w:val="24"/>
          <w:lang w:val="en"/>
        </w:rPr>
        <w:t xml:space="preserve"> </w:t>
      </w:r>
    </w:p>
    <w:p w:rsidR="001E3B85" w:rsidRPr="00681525" w:rsidRDefault="001E3B85" w:rsidP="00006A4F">
      <w:pPr>
        <w:spacing w:line="480" w:lineRule="auto"/>
        <w:ind w:left="851" w:hanging="851"/>
        <w:rPr>
          <w:sz w:val="24"/>
          <w:szCs w:val="24"/>
        </w:rPr>
      </w:pPr>
      <w:r w:rsidRPr="00681525">
        <w:rPr>
          <w:sz w:val="24"/>
          <w:szCs w:val="24"/>
          <w:lang w:val="en"/>
        </w:rPr>
        <w:t xml:space="preserve">Australian Institute of Criminology. (2015). Indigenous justice. In </w:t>
      </w:r>
      <w:r w:rsidRPr="00681525">
        <w:rPr>
          <w:i/>
          <w:sz w:val="24"/>
          <w:szCs w:val="24"/>
          <w:lang w:val="en"/>
        </w:rPr>
        <w:t xml:space="preserve">Australian Institute of Criminology. </w:t>
      </w:r>
      <w:r w:rsidRPr="00681525">
        <w:rPr>
          <w:sz w:val="24"/>
          <w:szCs w:val="24"/>
          <w:lang w:val="en"/>
        </w:rPr>
        <w:t xml:space="preserve"> Retrieved from: </w:t>
      </w:r>
      <w:hyperlink r:id="rId11" w:history="1">
        <w:r w:rsidRPr="00681525">
          <w:rPr>
            <w:rStyle w:val="Hyperlink"/>
            <w:sz w:val="24"/>
            <w:szCs w:val="24"/>
            <w:lang w:val="en"/>
          </w:rPr>
          <w:t>http://www.aic.gov.au/crime_types/in_focus/indigenousjustice.html</w:t>
        </w:r>
      </w:hyperlink>
      <w:r w:rsidRPr="00681525">
        <w:rPr>
          <w:sz w:val="24"/>
          <w:szCs w:val="24"/>
          <w:lang w:val="en"/>
        </w:rPr>
        <w:t xml:space="preserve"> </w:t>
      </w:r>
    </w:p>
    <w:p w:rsidR="00255051" w:rsidRPr="00681525" w:rsidRDefault="00255051" w:rsidP="00006A4F">
      <w:pPr>
        <w:spacing w:line="480" w:lineRule="auto"/>
        <w:ind w:left="851" w:hanging="851"/>
        <w:rPr>
          <w:sz w:val="24"/>
          <w:szCs w:val="24"/>
        </w:rPr>
      </w:pPr>
      <w:r w:rsidRPr="00681525">
        <w:rPr>
          <w:sz w:val="24"/>
          <w:szCs w:val="24"/>
        </w:rPr>
        <w:t>Beckett, J. (1988). Aboriginality, citizenship and the nation state. In Beckett, J. (</w:t>
      </w:r>
      <w:proofErr w:type="spellStart"/>
      <w:r w:rsidRPr="00681525">
        <w:rPr>
          <w:sz w:val="24"/>
          <w:szCs w:val="24"/>
        </w:rPr>
        <w:t>ed</w:t>
      </w:r>
      <w:proofErr w:type="spellEnd"/>
      <w:r w:rsidRPr="00681525">
        <w:rPr>
          <w:sz w:val="24"/>
          <w:szCs w:val="24"/>
        </w:rPr>
        <w:t>), Aborigines and the state in Australia. Social Analysis 24, Special Issue Series, AGPS, Canberra.</w:t>
      </w:r>
    </w:p>
    <w:p w:rsidR="006B7175" w:rsidRPr="00681525" w:rsidRDefault="006B7175" w:rsidP="00006A4F">
      <w:pPr>
        <w:autoSpaceDE w:val="0"/>
        <w:autoSpaceDN w:val="0"/>
        <w:adjustRightInd w:val="0"/>
        <w:spacing w:after="0" w:line="480" w:lineRule="auto"/>
        <w:ind w:left="851" w:hanging="851"/>
        <w:rPr>
          <w:rFonts w:cs="Times New Roman"/>
          <w:iCs/>
          <w:sz w:val="24"/>
          <w:szCs w:val="24"/>
        </w:rPr>
      </w:pPr>
      <w:proofErr w:type="spellStart"/>
      <w:r w:rsidRPr="00681525">
        <w:rPr>
          <w:sz w:val="24"/>
          <w:szCs w:val="24"/>
        </w:rPr>
        <w:lastRenderedPageBreak/>
        <w:t>Cuneen</w:t>
      </w:r>
      <w:proofErr w:type="spellEnd"/>
      <w:r w:rsidRPr="00681525">
        <w:rPr>
          <w:sz w:val="24"/>
          <w:szCs w:val="24"/>
        </w:rPr>
        <w:t xml:space="preserve">, C. (2008). </w:t>
      </w:r>
      <w:r w:rsidRPr="00681525">
        <w:rPr>
          <w:rFonts w:cs="Times New Roman"/>
          <w:iCs/>
          <w:sz w:val="24"/>
          <w:szCs w:val="24"/>
        </w:rPr>
        <w:t xml:space="preserve">Criminology, Criminal Justice and Indigenous People: A Dysfunctional </w:t>
      </w:r>
      <w:proofErr w:type="gramStart"/>
      <w:r w:rsidRPr="00681525">
        <w:rPr>
          <w:rFonts w:cs="Times New Roman"/>
          <w:iCs/>
          <w:sz w:val="24"/>
          <w:szCs w:val="24"/>
        </w:rPr>
        <w:t>Relationship?.</w:t>
      </w:r>
      <w:proofErr w:type="gramEnd"/>
      <w:r w:rsidRPr="00681525">
        <w:rPr>
          <w:rFonts w:cs="Times New Roman"/>
          <w:iCs/>
          <w:sz w:val="24"/>
          <w:szCs w:val="24"/>
        </w:rPr>
        <w:t xml:space="preserve"> </w:t>
      </w:r>
      <w:r w:rsidR="00977CF7" w:rsidRPr="00681525">
        <w:rPr>
          <w:rFonts w:cs="Times New Roman"/>
          <w:iCs/>
          <w:sz w:val="24"/>
          <w:szCs w:val="24"/>
        </w:rPr>
        <w:t xml:space="preserve">Retrieved from: </w:t>
      </w:r>
      <w:hyperlink r:id="rId12" w:history="1">
        <w:r w:rsidR="00977CF7" w:rsidRPr="00681525">
          <w:rPr>
            <w:rStyle w:val="Hyperlink"/>
            <w:rFonts w:cs="Times New Roman"/>
            <w:iCs/>
            <w:sz w:val="24"/>
            <w:szCs w:val="24"/>
          </w:rPr>
          <w:t>http://www.austlii.edu.au/au/journals/CICrimJust/2009/1.pdf</w:t>
        </w:r>
      </w:hyperlink>
      <w:r w:rsidR="00977CF7" w:rsidRPr="00681525">
        <w:rPr>
          <w:rFonts w:cs="Times New Roman"/>
          <w:iCs/>
          <w:sz w:val="24"/>
          <w:szCs w:val="24"/>
        </w:rPr>
        <w:t xml:space="preserve"> </w:t>
      </w:r>
    </w:p>
    <w:p w:rsidR="00977CF7" w:rsidRPr="00681525" w:rsidRDefault="00977CF7" w:rsidP="00006A4F">
      <w:pPr>
        <w:autoSpaceDE w:val="0"/>
        <w:autoSpaceDN w:val="0"/>
        <w:adjustRightInd w:val="0"/>
        <w:spacing w:after="0" w:line="480" w:lineRule="auto"/>
        <w:ind w:left="851" w:hanging="851"/>
        <w:rPr>
          <w:rFonts w:cs="Times New Roman"/>
          <w:iCs/>
          <w:sz w:val="24"/>
          <w:szCs w:val="24"/>
        </w:rPr>
      </w:pPr>
    </w:p>
    <w:p w:rsidR="00003DAD" w:rsidRPr="00681525" w:rsidRDefault="00003DAD" w:rsidP="00006A4F">
      <w:pPr>
        <w:spacing w:line="480" w:lineRule="auto"/>
        <w:ind w:left="851" w:hanging="851"/>
        <w:rPr>
          <w:sz w:val="24"/>
          <w:szCs w:val="24"/>
        </w:rPr>
      </w:pPr>
      <w:r w:rsidRPr="00681525">
        <w:rPr>
          <w:sz w:val="24"/>
          <w:szCs w:val="24"/>
        </w:rPr>
        <w:t xml:space="preserve">Davis, B. (1999). The inappropriateness of the criminal justice system—Indigenous Australian criminological perspective. </w:t>
      </w:r>
      <w:r w:rsidRPr="00681525">
        <w:rPr>
          <w:i/>
          <w:sz w:val="24"/>
          <w:szCs w:val="24"/>
        </w:rPr>
        <w:t>Australian Institute of Criminology</w:t>
      </w:r>
      <w:r w:rsidRPr="00681525">
        <w:rPr>
          <w:sz w:val="24"/>
          <w:szCs w:val="24"/>
        </w:rPr>
        <w:t xml:space="preserve">. Retrieved from: </w:t>
      </w:r>
      <w:hyperlink r:id="rId13" w:history="1">
        <w:r w:rsidRPr="00681525">
          <w:rPr>
            <w:rStyle w:val="Hyperlink"/>
            <w:sz w:val="24"/>
            <w:szCs w:val="24"/>
          </w:rPr>
          <w:t>http://www.aic.gov.au/media_library/conferences/outlook99/davis.pdf</w:t>
        </w:r>
      </w:hyperlink>
      <w:r w:rsidRPr="00681525">
        <w:rPr>
          <w:sz w:val="24"/>
          <w:szCs w:val="24"/>
        </w:rPr>
        <w:t xml:space="preserve"> </w:t>
      </w:r>
    </w:p>
    <w:p w:rsidR="00FD5C71" w:rsidRPr="00681525" w:rsidRDefault="00FD5C71" w:rsidP="00006A4F">
      <w:pPr>
        <w:spacing w:line="480" w:lineRule="auto"/>
        <w:ind w:left="851" w:hanging="851"/>
        <w:rPr>
          <w:sz w:val="24"/>
          <w:szCs w:val="24"/>
        </w:rPr>
      </w:pPr>
      <w:proofErr w:type="spellStart"/>
      <w:r w:rsidRPr="00681525">
        <w:rPr>
          <w:sz w:val="24"/>
          <w:szCs w:val="24"/>
        </w:rPr>
        <w:t>Gray</w:t>
      </w:r>
      <w:proofErr w:type="spellEnd"/>
      <w:r w:rsidRPr="00681525">
        <w:rPr>
          <w:sz w:val="24"/>
          <w:szCs w:val="24"/>
        </w:rPr>
        <w:t xml:space="preserve">, M., Hunter, B., &amp; </w:t>
      </w:r>
      <w:proofErr w:type="spellStart"/>
      <w:r w:rsidRPr="00681525">
        <w:rPr>
          <w:sz w:val="24"/>
          <w:szCs w:val="24"/>
        </w:rPr>
        <w:t>Lohoar</w:t>
      </w:r>
      <w:proofErr w:type="spellEnd"/>
      <w:r w:rsidRPr="00681525">
        <w:rPr>
          <w:sz w:val="24"/>
          <w:szCs w:val="24"/>
        </w:rPr>
        <w:t xml:space="preserve">, S. (2012). Increasing Indigenous employment rates. </w:t>
      </w:r>
      <w:r w:rsidRPr="00681525">
        <w:rPr>
          <w:i/>
          <w:sz w:val="24"/>
          <w:szCs w:val="24"/>
        </w:rPr>
        <w:t>Australian Institute of Health and Welfare</w:t>
      </w:r>
      <w:r w:rsidRPr="00681525">
        <w:rPr>
          <w:sz w:val="24"/>
          <w:szCs w:val="24"/>
        </w:rPr>
        <w:t>. 1(3), 1-29.</w:t>
      </w:r>
    </w:p>
    <w:p w:rsidR="00B239F3" w:rsidRPr="00681525" w:rsidRDefault="00B239F3" w:rsidP="00006A4F">
      <w:pPr>
        <w:spacing w:line="480" w:lineRule="auto"/>
        <w:ind w:left="851" w:hanging="851"/>
        <w:rPr>
          <w:rFonts w:cs="Bookman Old Style"/>
          <w:sz w:val="24"/>
          <w:szCs w:val="24"/>
        </w:rPr>
      </w:pPr>
      <w:r w:rsidRPr="00681525">
        <w:rPr>
          <w:sz w:val="24"/>
          <w:szCs w:val="24"/>
        </w:rPr>
        <w:t xml:space="preserve">Hunter, B.H. (2000). </w:t>
      </w:r>
      <w:r w:rsidRPr="00681525">
        <w:rPr>
          <w:sz w:val="24"/>
          <w:szCs w:val="24"/>
          <w:lang w:val="en"/>
        </w:rPr>
        <w:t xml:space="preserve">Social exclusion, social capital, and Indigenous Australians: measuring the social costs of unemployment. </w:t>
      </w:r>
      <w:r w:rsidRPr="00681525">
        <w:rPr>
          <w:rFonts w:cs="Bookman Old Style"/>
          <w:i/>
          <w:sz w:val="24"/>
          <w:szCs w:val="24"/>
        </w:rPr>
        <w:t xml:space="preserve">Centre for Aboriginal Economic Policy Research, </w:t>
      </w:r>
      <w:r w:rsidRPr="00681525">
        <w:rPr>
          <w:rFonts w:cs="Bookman Old Style"/>
          <w:sz w:val="24"/>
          <w:szCs w:val="24"/>
        </w:rPr>
        <w:t>204, 1-52.</w:t>
      </w:r>
      <w:r w:rsidRPr="00681525">
        <w:rPr>
          <w:rFonts w:cs="Bookman Old Style"/>
          <w:i/>
          <w:sz w:val="24"/>
          <w:szCs w:val="24"/>
        </w:rPr>
        <w:t xml:space="preserve"> </w:t>
      </w:r>
      <w:r w:rsidRPr="00681525">
        <w:rPr>
          <w:rFonts w:cs="Bookman Old Style"/>
          <w:sz w:val="24"/>
          <w:szCs w:val="24"/>
        </w:rPr>
        <w:t>Retrieved from:</w:t>
      </w:r>
      <w:r w:rsidR="00521D48" w:rsidRPr="00681525">
        <w:rPr>
          <w:rFonts w:cs="Bookman Old Style"/>
          <w:sz w:val="24"/>
          <w:szCs w:val="24"/>
        </w:rPr>
        <w:t xml:space="preserve"> </w:t>
      </w:r>
      <w:hyperlink r:id="rId14" w:history="1">
        <w:r w:rsidR="00521D48" w:rsidRPr="00681525">
          <w:rPr>
            <w:rStyle w:val="Hyperlink"/>
            <w:rFonts w:cs="Bookman Old Style"/>
            <w:sz w:val="24"/>
            <w:szCs w:val="24"/>
          </w:rPr>
          <w:t>https://digitalcollections.anu.edu.au/handle/1885/41388</w:t>
        </w:r>
      </w:hyperlink>
      <w:r w:rsidR="00521D48" w:rsidRPr="00681525">
        <w:rPr>
          <w:rFonts w:cs="Bookman Old Style"/>
          <w:sz w:val="24"/>
          <w:szCs w:val="24"/>
        </w:rPr>
        <w:t xml:space="preserve"> </w:t>
      </w:r>
    </w:p>
    <w:p w:rsidR="00846B93" w:rsidRPr="00681525" w:rsidRDefault="00846B93" w:rsidP="00006A4F">
      <w:pPr>
        <w:spacing w:line="480" w:lineRule="auto"/>
        <w:ind w:left="851" w:hanging="851"/>
        <w:rPr>
          <w:rFonts w:cs="Bookman Old Style"/>
          <w:sz w:val="24"/>
          <w:szCs w:val="24"/>
        </w:rPr>
      </w:pPr>
      <w:r w:rsidRPr="00681525">
        <w:rPr>
          <w:rFonts w:cs="Bookman Old Style"/>
          <w:sz w:val="24"/>
          <w:szCs w:val="24"/>
        </w:rPr>
        <w:t xml:space="preserve">Judicial Commission of New South Wales. (2016). </w:t>
      </w:r>
      <w:r w:rsidRPr="00681525">
        <w:rPr>
          <w:sz w:val="24"/>
          <w:szCs w:val="24"/>
        </w:rPr>
        <w:t>Crimes Act 1914 (</w:t>
      </w:r>
      <w:proofErr w:type="spellStart"/>
      <w:r w:rsidRPr="00681525">
        <w:rPr>
          <w:sz w:val="24"/>
          <w:szCs w:val="24"/>
        </w:rPr>
        <w:t>Cth</w:t>
      </w:r>
      <w:proofErr w:type="spellEnd"/>
      <w:r w:rsidRPr="00681525">
        <w:rPr>
          <w:sz w:val="24"/>
          <w:szCs w:val="24"/>
        </w:rPr>
        <w:t xml:space="preserve">) - Sentencing Commonwealth offenders. </w:t>
      </w:r>
      <w:r w:rsidRPr="00681525">
        <w:rPr>
          <w:rFonts w:cs="Bookman Old Style"/>
          <w:sz w:val="24"/>
          <w:szCs w:val="24"/>
        </w:rPr>
        <w:t xml:space="preserve">Accessed at: </w:t>
      </w:r>
      <w:hyperlink r:id="rId15" w:history="1">
        <w:r w:rsidRPr="00681525">
          <w:rPr>
            <w:rStyle w:val="Hyperlink"/>
            <w:rFonts w:cs="Bookman Old Style"/>
            <w:sz w:val="24"/>
            <w:szCs w:val="24"/>
          </w:rPr>
          <w:t>http://www.judcom.nsw.gov.au/publications/benchbks/sentencing/sentencing_commonwealth_offenders.html</w:t>
        </w:r>
      </w:hyperlink>
      <w:r w:rsidRPr="00681525">
        <w:rPr>
          <w:rFonts w:cs="Bookman Old Style"/>
          <w:sz w:val="24"/>
          <w:szCs w:val="24"/>
        </w:rPr>
        <w:t xml:space="preserve"> </w:t>
      </w:r>
    </w:p>
    <w:p w:rsidR="00CD6719" w:rsidRPr="00681525" w:rsidRDefault="00CD6719" w:rsidP="00006A4F">
      <w:pPr>
        <w:spacing w:line="480" w:lineRule="auto"/>
        <w:ind w:left="851" w:hanging="851"/>
        <w:rPr>
          <w:sz w:val="24"/>
          <w:szCs w:val="24"/>
        </w:rPr>
      </w:pPr>
      <w:r w:rsidRPr="00681525">
        <w:rPr>
          <w:sz w:val="24"/>
          <w:szCs w:val="24"/>
        </w:rPr>
        <w:t xml:space="preserve">Johnston, E. (1991). Royal Commission into Aboriginal Deaths in Custody. Volume 1, part 1.1, “The Royal Commission”. Available at: </w:t>
      </w:r>
      <w:hyperlink r:id="rId16" w:history="1">
        <w:r w:rsidRPr="00681525">
          <w:rPr>
            <w:rStyle w:val="Hyperlink"/>
            <w:sz w:val="24"/>
            <w:szCs w:val="24"/>
          </w:rPr>
          <w:t>http://www.austlii.edu.au/au/other/IndigLRes/rciadic/national/vol1/7.html</w:t>
        </w:r>
      </w:hyperlink>
      <w:r w:rsidRPr="00681525">
        <w:rPr>
          <w:sz w:val="24"/>
          <w:szCs w:val="24"/>
        </w:rPr>
        <w:t xml:space="preserve"> </w:t>
      </w:r>
    </w:p>
    <w:p w:rsidR="00F51FB0" w:rsidRPr="00681525" w:rsidRDefault="00F51FB0" w:rsidP="00006A4F">
      <w:pPr>
        <w:autoSpaceDE w:val="0"/>
        <w:autoSpaceDN w:val="0"/>
        <w:adjustRightInd w:val="0"/>
        <w:spacing w:after="0" w:line="480" w:lineRule="auto"/>
        <w:ind w:left="851" w:hanging="851"/>
        <w:rPr>
          <w:rFonts w:cs="Palatino-Bold"/>
          <w:b/>
          <w:bCs/>
          <w:i/>
          <w:sz w:val="24"/>
          <w:szCs w:val="24"/>
        </w:rPr>
      </w:pPr>
      <w:r w:rsidRPr="00681525">
        <w:rPr>
          <w:sz w:val="24"/>
          <w:szCs w:val="24"/>
        </w:rPr>
        <w:lastRenderedPageBreak/>
        <w:t xml:space="preserve">Maddison, S. (2008). </w:t>
      </w:r>
      <w:r w:rsidRPr="00681525">
        <w:rPr>
          <w:rFonts w:cs="Palatino-Bold"/>
          <w:bCs/>
          <w:sz w:val="24"/>
          <w:szCs w:val="24"/>
        </w:rPr>
        <w:t xml:space="preserve">Indigenous autonomy matters: what’s wrong with the Australian government’s ‘intervention’ in Aboriginal communities. </w:t>
      </w:r>
      <w:r w:rsidR="00277616">
        <w:rPr>
          <w:rFonts w:cs="Palatino-Bold"/>
          <w:bCs/>
          <w:sz w:val="24"/>
          <w:szCs w:val="24"/>
        </w:rPr>
        <w:t xml:space="preserve"> </w:t>
      </w:r>
      <w:r w:rsidR="00277616">
        <w:rPr>
          <w:rFonts w:cs="Palatino-Bold"/>
          <w:bCs/>
          <w:i/>
          <w:sz w:val="24"/>
          <w:szCs w:val="24"/>
        </w:rPr>
        <w:t>Australian Journal of Human Rights</w:t>
      </w:r>
      <w:r w:rsidRPr="00681525">
        <w:rPr>
          <w:rFonts w:cs="Palatino-Bold"/>
          <w:bCs/>
          <w:i/>
          <w:sz w:val="24"/>
          <w:szCs w:val="24"/>
        </w:rPr>
        <w:t xml:space="preserve">, </w:t>
      </w:r>
      <w:r w:rsidRPr="00681525">
        <w:rPr>
          <w:rFonts w:cs="Palatino-Bold"/>
          <w:bCs/>
          <w:sz w:val="24"/>
          <w:szCs w:val="24"/>
        </w:rPr>
        <w:t xml:space="preserve">14(1), 41-61. </w:t>
      </w:r>
    </w:p>
    <w:p w:rsidR="00F51FB0" w:rsidRPr="00681525" w:rsidRDefault="00F51FB0" w:rsidP="00006A4F">
      <w:pPr>
        <w:autoSpaceDE w:val="0"/>
        <w:autoSpaceDN w:val="0"/>
        <w:adjustRightInd w:val="0"/>
        <w:spacing w:after="0" w:line="480" w:lineRule="auto"/>
        <w:ind w:left="851" w:hanging="851"/>
        <w:rPr>
          <w:sz w:val="24"/>
          <w:szCs w:val="24"/>
        </w:rPr>
      </w:pPr>
    </w:p>
    <w:p w:rsidR="00DD23A6" w:rsidRPr="00681525" w:rsidRDefault="00B239F3" w:rsidP="00006A4F">
      <w:pPr>
        <w:autoSpaceDE w:val="0"/>
        <w:autoSpaceDN w:val="0"/>
        <w:adjustRightInd w:val="0"/>
        <w:spacing w:after="0" w:line="480" w:lineRule="auto"/>
        <w:ind w:left="851" w:hanging="851"/>
        <w:rPr>
          <w:rFonts w:cs="Bookman Old Style"/>
          <w:sz w:val="24"/>
          <w:szCs w:val="24"/>
        </w:rPr>
      </w:pPr>
      <w:r w:rsidRPr="00681525">
        <w:rPr>
          <w:sz w:val="24"/>
          <w:szCs w:val="24"/>
        </w:rPr>
        <w:t xml:space="preserve">Martin, D. F. (2001). </w:t>
      </w:r>
      <w:r w:rsidRPr="00681525">
        <w:rPr>
          <w:sz w:val="24"/>
          <w:szCs w:val="24"/>
          <w:lang w:val="en"/>
        </w:rPr>
        <w:t xml:space="preserve">Is welfare dependency 'welfare poison'? An assessment of Noel Pearson's proposals for Aboriginal welfare reform. </w:t>
      </w:r>
      <w:r w:rsidRPr="00681525">
        <w:rPr>
          <w:rFonts w:cs="Bookman Old Style"/>
          <w:i/>
          <w:sz w:val="24"/>
          <w:szCs w:val="24"/>
        </w:rPr>
        <w:t xml:space="preserve">Centre for Aboriginal Economic Policy Research, </w:t>
      </w:r>
      <w:r w:rsidRPr="00681525">
        <w:rPr>
          <w:rFonts w:cs="Bookman Old Style"/>
          <w:sz w:val="24"/>
          <w:szCs w:val="24"/>
        </w:rPr>
        <w:t>213, 1-36.</w:t>
      </w:r>
      <w:r w:rsidRPr="00681525">
        <w:rPr>
          <w:rFonts w:cs="Bookman Old Style"/>
          <w:i/>
          <w:sz w:val="24"/>
          <w:szCs w:val="24"/>
        </w:rPr>
        <w:t xml:space="preserve"> </w:t>
      </w:r>
      <w:r w:rsidRPr="00681525">
        <w:rPr>
          <w:rFonts w:cs="Bookman Old Style"/>
          <w:sz w:val="24"/>
          <w:szCs w:val="24"/>
        </w:rPr>
        <w:t xml:space="preserve">Retrieved from: </w:t>
      </w:r>
      <w:hyperlink r:id="rId17" w:history="1">
        <w:r w:rsidRPr="00681525">
          <w:rPr>
            <w:rStyle w:val="Hyperlink"/>
            <w:rFonts w:cs="Bookman Old Style"/>
            <w:sz w:val="24"/>
            <w:szCs w:val="24"/>
          </w:rPr>
          <w:t>https://digitalcollections.anu.edu.au/handle/1885/41362</w:t>
        </w:r>
      </w:hyperlink>
    </w:p>
    <w:p w:rsidR="00B239F3" w:rsidRPr="00681525" w:rsidRDefault="00B239F3" w:rsidP="00006A4F">
      <w:pPr>
        <w:autoSpaceDE w:val="0"/>
        <w:autoSpaceDN w:val="0"/>
        <w:adjustRightInd w:val="0"/>
        <w:spacing w:after="0" w:line="480" w:lineRule="auto"/>
        <w:ind w:left="851" w:hanging="851"/>
        <w:rPr>
          <w:rFonts w:cs="Bookman Old Style"/>
          <w:sz w:val="24"/>
          <w:szCs w:val="24"/>
        </w:rPr>
      </w:pPr>
    </w:p>
    <w:p w:rsidR="007D68A8" w:rsidRPr="00681525" w:rsidRDefault="007D68A8" w:rsidP="00006A4F">
      <w:pPr>
        <w:pStyle w:val="Default"/>
        <w:spacing w:line="480" w:lineRule="auto"/>
        <w:ind w:left="851" w:hanging="851"/>
        <w:rPr>
          <w:rFonts w:asciiTheme="minorHAnsi" w:hAnsiTheme="minorHAnsi"/>
        </w:rPr>
      </w:pPr>
      <w:r w:rsidRPr="00681525">
        <w:rPr>
          <w:rFonts w:asciiTheme="minorHAnsi" w:hAnsiTheme="minorHAnsi"/>
        </w:rPr>
        <w:t xml:space="preserve">Norris, R. (1998). Human Rights and Wrongs, Indigenous Employment, Past, Present and Future. Social Alternatives, 17(2) 28-33. </w:t>
      </w:r>
    </w:p>
    <w:p w:rsidR="00375397" w:rsidRPr="00681525" w:rsidRDefault="00375397" w:rsidP="00006A4F">
      <w:pPr>
        <w:pStyle w:val="Default"/>
        <w:spacing w:line="480" w:lineRule="auto"/>
        <w:ind w:left="851" w:hanging="851"/>
        <w:rPr>
          <w:rFonts w:asciiTheme="minorHAnsi" w:hAnsiTheme="minorHAnsi"/>
        </w:rPr>
      </w:pPr>
    </w:p>
    <w:p w:rsidR="00D0615F" w:rsidRPr="00681525" w:rsidRDefault="00D0615F" w:rsidP="00006A4F">
      <w:pPr>
        <w:pStyle w:val="Default"/>
        <w:spacing w:line="480" w:lineRule="auto"/>
        <w:ind w:left="851" w:hanging="851"/>
        <w:rPr>
          <w:rFonts w:asciiTheme="minorHAnsi" w:hAnsiTheme="minorHAnsi"/>
          <w:lang w:val="en-GB"/>
        </w:rPr>
      </w:pPr>
      <w:r w:rsidRPr="00681525">
        <w:rPr>
          <w:rFonts w:asciiTheme="minorHAnsi" w:hAnsiTheme="minorHAnsi"/>
        </w:rPr>
        <w:t>The Victorian Equal Opportunity and Human Rights Commission. (</w:t>
      </w:r>
      <w:proofErr w:type="spellStart"/>
      <w:r w:rsidRPr="00681525">
        <w:rPr>
          <w:rFonts w:asciiTheme="minorHAnsi" w:hAnsiTheme="minorHAnsi"/>
        </w:rPr>
        <w:t>n.d.</w:t>
      </w:r>
      <w:proofErr w:type="spellEnd"/>
      <w:r w:rsidRPr="00681525">
        <w:rPr>
          <w:rFonts w:asciiTheme="minorHAnsi" w:hAnsiTheme="minorHAnsi"/>
        </w:rPr>
        <w:t xml:space="preserve">). </w:t>
      </w:r>
      <w:r w:rsidRPr="00681525">
        <w:rPr>
          <w:rFonts w:asciiTheme="minorHAnsi" w:hAnsiTheme="minorHAnsi"/>
          <w:lang w:val="en-GB"/>
        </w:rPr>
        <w:t xml:space="preserve">The rights of Aboriginal people are protected by law. In </w:t>
      </w:r>
      <w:r w:rsidRPr="00681525">
        <w:rPr>
          <w:rFonts w:asciiTheme="minorHAnsi" w:hAnsiTheme="minorHAnsi"/>
          <w:i/>
          <w:lang w:val="en-GB"/>
        </w:rPr>
        <w:t>Aboriginal Victorians’ Rights.</w:t>
      </w:r>
      <w:r w:rsidRPr="00681525">
        <w:rPr>
          <w:rFonts w:asciiTheme="minorHAnsi" w:hAnsiTheme="minorHAnsi"/>
          <w:lang w:val="en-GB"/>
        </w:rPr>
        <w:t xml:space="preserve"> Retrieved from: </w:t>
      </w:r>
      <w:hyperlink r:id="rId18" w:history="1">
        <w:r w:rsidRPr="00681525">
          <w:rPr>
            <w:rStyle w:val="Hyperlink"/>
            <w:rFonts w:asciiTheme="minorHAnsi" w:hAnsiTheme="minorHAnsi"/>
            <w:lang w:val="en-GB"/>
          </w:rPr>
          <w:t>http://www.humanrightscommission.vic.gov.au/index.php/indigenoushome</w:t>
        </w:r>
      </w:hyperlink>
      <w:r w:rsidRPr="00681525">
        <w:rPr>
          <w:rFonts w:asciiTheme="minorHAnsi" w:hAnsiTheme="minorHAnsi"/>
          <w:lang w:val="en-GB"/>
        </w:rPr>
        <w:t xml:space="preserve"> </w:t>
      </w:r>
    </w:p>
    <w:p w:rsidR="00D0615F" w:rsidRPr="00681525" w:rsidRDefault="00D0615F" w:rsidP="00006A4F">
      <w:pPr>
        <w:pStyle w:val="Default"/>
        <w:spacing w:line="480" w:lineRule="auto"/>
        <w:ind w:left="851" w:hanging="851"/>
      </w:pPr>
    </w:p>
    <w:p w:rsidR="00255051" w:rsidRPr="00681525" w:rsidRDefault="00255051" w:rsidP="00006A4F">
      <w:pPr>
        <w:spacing w:line="480" w:lineRule="auto"/>
        <w:ind w:left="851" w:hanging="851"/>
        <w:rPr>
          <w:sz w:val="24"/>
          <w:szCs w:val="24"/>
        </w:rPr>
      </w:pPr>
    </w:p>
    <w:sectPr w:rsidR="00255051" w:rsidRPr="00681525" w:rsidSect="007060DB">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45"/>
    <w:rsid w:val="00003DAD"/>
    <w:rsid w:val="00006A4F"/>
    <w:rsid w:val="000070A9"/>
    <w:rsid w:val="000304C0"/>
    <w:rsid w:val="000E0C6F"/>
    <w:rsid w:val="001C0DCD"/>
    <w:rsid w:val="001C559E"/>
    <w:rsid w:val="001E207C"/>
    <w:rsid w:val="001E3B85"/>
    <w:rsid w:val="001F6438"/>
    <w:rsid w:val="002300CF"/>
    <w:rsid w:val="00244F4F"/>
    <w:rsid w:val="00255051"/>
    <w:rsid w:val="00277616"/>
    <w:rsid w:val="002B36EC"/>
    <w:rsid w:val="002C1F45"/>
    <w:rsid w:val="00300758"/>
    <w:rsid w:val="00375397"/>
    <w:rsid w:val="003A20AB"/>
    <w:rsid w:val="003F6A0B"/>
    <w:rsid w:val="00432B06"/>
    <w:rsid w:val="004821CB"/>
    <w:rsid w:val="00521D48"/>
    <w:rsid w:val="005978F9"/>
    <w:rsid w:val="005B1EE7"/>
    <w:rsid w:val="005D6018"/>
    <w:rsid w:val="0063459E"/>
    <w:rsid w:val="00665EB3"/>
    <w:rsid w:val="00681525"/>
    <w:rsid w:val="006B7175"/>
    <w:rsid w:val="00703EB5"/>
    <w:rsid w:val="007060DB"/>
    <w:rsid w:val="00731C80"/>
    <w:rsid w:val="007640EE"/>
    <w:rsid w:val="0076437D"/>
    <w:rsid w:val="00790E5C"/>
    <w:rsid w:val="007D68A8"/>
    <w:rsid w:val="00803F1F"/>
    <w:rsid w:val="0083696D"/>
    <w:rsid w:val="00836A54"/>
    <w:rsid w:val="00846B93"/>
    <w:rsid w:val="00850336"/>
    <w:rsid w:val="00885E91"/>
    <w:rsid w:val="0089516E"/>
    <w:rsid w:val="009107C4"/>
    <w:rsid w:val="00946BAC"/>
    <w:rsid w:val="00977CF7"/>
    <w:rsid w:val="00991862"/>
    <w:rsid w:val="009D11EF"/>
    <w:rsid w:val="009D6B22"/>
    <w:rsid w:val="00A171A4"/>
    <w:rsid w:val="00A2608F"/>
    <w:rsid w:val="00A62164"/>
    <w:rsid w:val="00B239F3"/>
    <w:rsid w:val="00B40852"/>
    <w:rsid w:val="00C1321F"/>
    <w:rsid w:val="00C15FA3"/>
    <w:rsid w:val="00C22F40"/>
    <w:rsid w:val="00C63115"/>
    <w:rsid w:val="00C75580"/>
    <w:rsid w:val="00CD6719"/>
    <w:rsid w:val="00D0615F"/>
    <w:rsid w:val="00D97C9E"/>
    <w:rsid w:val="00DD23A6"/>
    <w:rsid w:val="00DF1A27"/>
    <w:rsid w:val="00E327DB"/>
    <w:rsid w:val="00E43D2C"/>
    <w:rsid w:val="00E61D6A"/>
    <w:rsid w:val="00E64D84"/>
    <w:rsid w:val="00EE39CD"/>
    <w:rsid w:val="00F239FE"/>
    <w:rsid w:val="00F36EEC"/>
    <w:rsid w:val="00F51FB0"/>
    <w:rsid w:val="00FD5C71"/>
    <w:rsid w:val="00FF6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D964"/>
  <w15:chartTrackingRefBased/>
  <w15:docId w15:val="{71EE7443-ED39-4EC7-AEB3-0EB1EED4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8A8"/>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D97C9E"/>
    <w:rPr>
      <w:color w:val="0563C1" w:themeColor="hyperlink"/>
      <w:u w:val="single"/>
    </w:rPr>
  </w:style>
  <w:style w:type="character" w:styleId="FollowedHyperlink">
    <w:name w:val="FollowedHyperlink"/>
    <w:basedOn w:val="DefaultParagraphFont"/>
    <w:uiPriority w:val="99"/>
    <w:semiHidden/>
    <w:unhideWhenUsed/>
    <w:rsid w:val="00977CF7"/>
    <w:rPr>
      <w:color w:val="954F72" w:themeColor="followedHyperlink"/>
      <w:u w:val="single"/>
    </w:rPr>
  </w:style>
  <w:style w:type="character" w:styleId="PlaceholderText">
    <w:name w:val="Placeholder Text"/>
    <w:basedOn w:val="DefaultParagraphFont"/>
    <w:uiPriority w:val="99"/>
    <w:semiHidden/>
    <w:rsid w:val="007060DB"/>
    <w:rPr>
      <w:color w:val="808080"/>
    </w:rPr>
  </w:style>
  <w:style w:type="paragraph" w:styleId="NoSpacing">
    <w:name w:val="No Spacing"/>
    <w:link w:val="NoSpacingChar"/>
    <w:uiPriority w:val="1"/>
    <w:qFormat/>
    <w:rsid w:val="007060DB"/>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7060DB"/>
    <w:rPr>
      <w:rFonts w:eastAsiaTheme="minorEastAsia"/>
      <w:sz w:val="20"/>
      <w:szCs w:val="20"/>
    </w:rPr>
  </w:style>
  <w:style w:type="character" w:customStyle="1" w:styleId="EndNoteBibliographyChar">
    <w:name w:val="EndNote Bibliography Char"/>
    <w:basedOn w:val="DefaultParagraphFont"/>
    <w:link w:val="EndNoteBibliography"/>
    <w:locked/>
    <w:rsid w:val="001F6438"/>
    <w:rPr>
      <w:rFonts w:ascii="Calibri" w:hAnsi="Calibri" w:cs="Calibri"/>
      <w:noProof/>
      <w:lang w:val="en-US"/>
    </w:rPr>
  </w:style>
  <w:style w:type="paragraph" w:customStyle="1" w:styleId="EndNoteBibliography">
    <w:name w:val="EndNote Bibliography"/>
    <w:basedOn w:val="Normal"/>
    <w:link w:val="EndNoteBibliographyChar"/>
    <w:rsid w:val="001F6438"/>
    <w:pPr>
      <w:spacing w:line="240" w:lineRule="auto"/>
    </w:pPr>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47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c.gov.au/publications/current%20series/tandi/401-420/tandi416.html" TargetMode="External"/><Relationship Id="rId13" Type="http://schemas.openxmlformats.org/officeDocument/2006/relationships/hyperlink" Target="http://www.aic.gov.au/media_library/conferences/outlook99/davis.pdf" TargetMode="External"/><Relationship Id="rId18" Type="http://schemas.openxmlformats.org/officeDocument/2006/relationships/hyperlink" Target="http://www.humanrightscommission.vic.gov.au/index.php/indigenoushome" TargetMode="External"/><Relationship Id="rId3" Type="http://schemas.openxmlformats.org/officeDocument/2006/relationships/settings" Target="settings.xml"/><Relationship Id="rId7" Type="http://schemas.openxmlformats.org/officeDocument/2006/relationships/hyperlink" Target="http://www.abs.gov.au/ausstats/abs@.nsf/Lookup/4102.0Main+Features20Nov+2013" TargetMode="External"/><Relationship Id="rId12" Type="http://schemas.openxmlformats.org/officeDocument/2006/relationships/hyperlink" Target="http://www.austlii.edu.au/au/journals/CICrimJust/2009/1.pdf" TargetMode="External"/><Relationship Id="rId17" Type="http://schemas.openxmlformats.org/officeDocument/2006/relationships/hyperlink" Target="https://digitalcollections.anu.edu.au/handle/1885/41362" TargetMode="External"/><Relationship Id="rId2" Type="http://schemas.openxmlformats.org/officeDocument/2006/relationships/styles" Target="styles.xml"/><Relationship Id="rId16" Type="http://schemas.openxmlformats.org/officeDocument/2006/relationships/hyperlink" Target="http://www.austlii.edu.au/au/other/IndigLRes/rciadic/national/vol1/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aic.gov.au/crime_types/in_focus/indigenousjustice.html" TargetMode="External"/><Relationship Id="rId5" Type="http://schemas.openxmlformats.org/officeDocument/2006/relationships/image" Target="media/image1.png"/><Relationship Id="rId15" Type="http://schemas.openxmlformats.org/officeDocument/2006/relationships/hyperlink" Target="http://www.judcom.nsw.gov.au/publications/benchbks/sentencing/sentencing_commonwealth_offenders.html" TargetMode="External"/><Relationship Id="rId10" Type="http://schemas.openxmlformats.org/officeDocument/2006/relationships/hyperlink" Target="https://www.humanrights.gov.au/our-work/legal/legisl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manrights.gov.au/publications/un-declaration-rights-indigenous-peoples-1" TargetMode="External"/><Relationship Id="rId14" Type="http://schemas.openxmlformats.org/officeDocument/2006/relationships/hyperlink" Target="https://digitalcollections.anu.edu.au/handle/1885/41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Word Count: </PublishDate>
  <Abstract/>
  <CompanyAddress/>
  <CompanyPhone/>
  <CompanyFax/>
  <CompanyEmail>11572622</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Contemporary realities and rights</vt:lpstr>
    </vt:vector>
  </TitlesOfParts>
  <Company>Due: 7/6/2016</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Indigenuos Australians: Histories, contemporary realities and rights</dc:title>
  <dc:subject>IKC101</dc:subject>
  <dc:creator>Alannah McLatchey</dc:creator>
  <cp:keywords/>
  <dc:description/>
  <cp:lastModifiedBy>McLatchey, Alannah</cp:lastModifiedBy>
  <cp:revision>2</cp:revision>
  <dcterms:created xsi:type="dcterms:W3CDTF">2018-04-11T09:19:00Z</dcterms:created>
  <dcterms:modified xsi:type="dcterms:W3CDTF">2018-04-11T09:19:00Z</dcterms:modified>
</cp:coreProperties>
</file>